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BAE" w:rsidRPr="000A22F1" w:rsidRDefault="00AA35E7" w:rsidP="00AA35E7">
      <w:pPr>
        <w:pStyle w:val="Title"/>
        <w:jc w:val="center"/>
        <w:rPr>
          <w:rFonts w:cstheme="majorHAnsi"/>
          <w:color w:val="00B0F0"/>
        </w:rPr>
      </w:pPr>
      <w:r w:rsidRPr="000A22F1">
        <w:rPr>
          <w:rFonts w:cstheme="majorHAnsi"/>
          <w:color w:val="00B0F0"/>
        </w:rPr>
        <w:t>New Century Health Clinic</w:t>
      </w:r>
    </w:p>
    <w:p w:rsidR="00AA35E7" w:rsidRPr="000A22F1" w:rsidRDefault="00AA35E7" w:rsidP="00AA35E7">
      <w:pPr>
        <w:pStyle w:val="Subtitle"/>
        <w:jc w:val="center"/>
        <w:rPr>
          <w:rFonts w:cstheme="majorHAnsi"/>
          <w:color w:val="2BB913"/>
        </w:rPr>
      </w:pPr>
      <w:r w:rsidRPr="000A22F1">
        <w:rPr>
          <w:rFonts w:cstheme="majorHAnsi"/>
          <w:color w:val="2BB913"/>
        </w:rPr>
        <w:t>Systems Analysis, Comparison and Recommendation</w:t>
      </w:r>
    </w:p>
    <w:p w:rsidR="00AA35E7" w:rsidRPr="000A22F1" w:rsidRDefault="00AA35E7" w:rsidP="00AA35E7">
      <w:pPr>
        <w:rPr>
          <w:rFonts w:asciiTheme="majorHAnsi" w:hAnsiTheme="majorHAnsi" w:cstheme="majorHAnsi"/>
        </w:rPr>
      </w:pPr>
    </w:p>
    <w:p w:rsidR="00AA35E7" w:rsidRPr="000A22F1" w:rsidRDefault="00AA35E7" w:rsidP="00AA35E7">
      <w:pPr>
        <w:rPr>
          <w:rFonts w:asciiTheme="majorHAnsi" w:hAnsiTheme="majorHAnsi" w:cstheme="majorHAnsi"/>
        </w:rPr>
      </w:pPr>
    </w:p>
    <w:p w:rsidR="005A1FFE" w:rsidRPr="000A22F1" w:rsidRDefault="005A1FFE" w:rsidP="005A1FFE">
      <w:pPr>
        <w:rPr>
          <w:rStyle w:val="IntenseReference"/>
          <w:rFonts w:asciiTheme="majorHAnsi" w:hAnsiTheme="majorHAnsi" w:cstheme="majorHAnsi"/>
          <w:color w:val="00B0F0"/>
        </w:rPr>
      </w:pPr>
      <w:r w:rsidRPr="000A22F1">
        <w:rPr>
          <w:rStyle w:val="IntenseReference"/>
          <w:rFonts w:asciiTheme="majorHAnsi" w:hAnsiTheme="majorHAnsi" w:cstheme="majorHAnsi"/>
          <w:color w:val="00B0F0"/>
        </w:rPr>
        <w:t>Comparison</w:t>
      </w:r>
    </w:p>
    <w:p w:rsidR="005A1FFE" w:rsidRPr="000A22F1" w:rsidRDefault="005A1FFE" w:rsidP="005A1FFE">
      <w:pPr>
        <w:rPr>
          <w:rStyle w:val="IntenseReference"/>
          <w:rFonts w:asciiTheme="majorHAnsi" w:hAnsiTheme="majorHAnsi" w:cstheme="majorHAnsi"/>
          <w:b w:val="0"/>
          <w:color w:val="00B0F0"/>
          <w:u w:val="none"/>
        </w:rPr>
      </w:pPr>
    </w:p>
    <w:p w:rsidR="005A1FFE" w:rsidRPr="000A22F1" w:rsidRDefault="005A1FFE" w:rsidP="005A1FFE">
      <w:pPr>
        <w:rPr>
          <w:rStyle w:val="IntenseReference"/>
          <w:rFonts w:asciiTheme="majorHAnsi" w:hAnsiTheme="majorHAnsi" w:cstheme="majorHAnsi"/>
          <w:b w:val="0"/>
          <w:smallCaps w:val="0"/>
          <w:color w:val="auto"/>
          <w:u w:val="none"/>
        </w:rPr>
      </w:pPr>
      <w:r w:rsidRPr="000A22F1">
        <w:rPr>
          <w:rStyle w:val="IntenseReference"/>
          <w:rFonts w:asciiTheme="majorHAnsi" w:hAnsiTheme="majorHAnsi" w:cstheme="majorHAnsi"/>
          <w:b w:val="0"/>
          <w:smallCaps w:val="0"/>
          <w:color w:val="auto"/>
          <w:u w:val="none"/>
        </w:rPr>
        <w:t>There are two options for New Century Health Clinic at this point.  The first option is to create an entirely new system for New Century Health Clinic, from the ground up</w:t>
      </w:r>
      <w:r w:rsidR="008963D4" w:rsidRPr="000A22F1">
        <w:rPr>
          <w:rStyle w:val="IntenseReference"/>
          <w:rFonts w:asciiTheme="majorHAnsi" w:hAnsiTheme="majorHAnsi" w:cstheme="majorHAnsi"/>
          <w:b w:val="0"/>
          <w:smallCaps w:val="0"/>
          <w:color w:val="auto"/>
          <w:u w:val="none"/>
        </w:rPr>
        <w:t xml:space="preserve"> using an in-house development team</w:t>
      </w:r>
      <w:r w:rsidRPr="000A22F1">
        <w:rPr>
          <w:rStyle w:val="IntenseReference"/>
          <w:rFonts w:asciiTheme="majorHAnsi" w:hAnsiTheme="majorHAnsi" w:cstheme="majorHAnsi"/>
          <w:b w:val="0"/>
          <w:smallCaps w:val="0"/>
          <w:color w:val="auto"/>
          <w:u w:val="none"/>
        </w:rPr>
        <w:t xml:space="preserve">.  The other option will be to buy a prepackaged </w:t>
      </w:r>
      <w:r w:rsidR="008963D4" w:rsidRPr="000A22F1">
        <w:rPr>
          <w:rStyle w:val="IntenseReference"/>
          <w:rFonts w:asciiTheme="majorHAnsi" w:hAnsiTheme="majorHAnsi" w:cstheme="majorHAnsi"/>
          <w:b w:val="0"/>
          <w:smallCaps w:val="0"/>
          <w:color w:val="auto"/>
          <w:u w:val="none"/>
        </w:rPr>
        <w:t>Vertical system.  These plans will be referred to as</w:t>
      </w:r>
      <w:r w:rsidR="008963D4" w:rsidRPr="000A22F1">
        <w:rPr>
          <w:rFonts w:asciiTheme="majorHAnsi" w:hAnsiTheme="majorHAnsi" w:cstheme="majorHAnsi"/>
          <w:bCs/>
          <w:spacing w:val="5"/>
        </w:rPr>
        <w:t xml:space="preserve"> “in-house” and</w:t>
      </w:r>
      <w:r w:rsidR="008963D4" w:rsidRPr="000A22F1">
        <w:rPr>
          <w:rStyle w:val="IntenseReference"/>
          <w:rFonts w:asciiTheme="majorHAnsi" w:hAnsiTheme="majorHAnsi" w:cstheme="majorHAnsi"/>
          <w:b w:val="0"/>
          <w:smallCaps w:val="0"/>
          <w:color w:val="auto"/>
          <w:u w:val="none"/>
        </w:rPr>
        <w:t xml:space="preserve"> “vertical” systems, respectively.</w:t>
      </w:r>
    </w:p>
    <w:p w:rsidR="0028592E" w:rsidRPr="000A22F1" w:rsidRDefault="0028592E" w:rsidP="005A1FFE">
      <w:pPr>
        <w:rPr>
          <w:rStyle w:val="IntenseReference"/>
          <w:rFonts w:asciiTheme="majorHAnsi" w:hAnsiTheme="majorHAnsi" w:cstheme="majorHAnsi"/>
          <w:b w:val="0"/>
          <w:smallCaps w:val="0"/>
          <w:color w:val="auto"/>
          <w:u w:val="none"/>
        </w:rPr>
      </w:pPr>
    </w:p>
    <w:p w:rsidR="0028592E" w:rsidRPr="000A22F1" w:rsidRDefault="0028592E" w:rsidP="005A1FFE">
      <w:pPr>
        <w:rPr>
          <w:rStyle w:val="IntenseReference"/>
          <w:rFonts w:asciiTheme="majorHAnsi" w:hAnsiTheme="majorHAnsi" w:cstheme="majorHAnsi"/>
          <w:b w:val="0"/>
          <w:smallCaps w:val="0"/>
          <w:color w:val="auto"/>
          <w:u w:val="none"/>
        </w:rPr>
      </w:pPr>
    </w:p>
    <w:p w:rsidR="008963D4" w:rsidRPr="000A22F1" w:rsidRDefault="008963D4" w:rsidP="005A1FFE">
      <w:pPr>
        <w:rPr>
          <w:rStyle w:val="IntenseReference"/>
          <w:rFonts w:asciiTheme="majorHAnsi" w:hAnsiTheme="majorHAnsi" w:cstheme="majorHAnsi"/>
          <w:b w:val="0"/>
          <w:smallCaps w:val="0"/>
          <w:color w:val="auto"/>
          <w:u w:val="none"/>
        </w:rPr>
      </w:pPr>
    </w:p>
    <w:p w:rsidR="0028592E" w:rsidRPr="000A22F1" w:rsidRDefault="008963D4" w:rsidP="005A1FFE">
      <w:pPr>
        <w:rPr>
          <w:rStyle w:val="IntenseReference"/>
          <w:rFonts w:asciiTheme="majorHAnsi" w:hAnsiTheme="majorHAnsi" w:cstheme="majorHAnsi"/>
          <w:b w:val="0"/>
          <w:smallCaps w:val="0"/>
          <w:color w:val="auto"/>
          <w:u w:val="none"/>
        </w:rPr>
      </w:pPr>
      <w:r w:rsidRPr="000A22F1">
        <w:rPr>
          <w:rStyle w:val="IntenseReference"/>
          <w:rFonts w:asciiTheme="majorHAnsi" w:hAnsiTheme="majorHAnsi" w:cstheme="majorHAnsi"/>
          <w:b w:val="0"/>
          <w:smallCaps w:val="0"/>
          <w:color w:val="auto"/>
          <w:u w:val="none"/>
        </w:rPr>
        <w:t xml:space="preserve">Each plan shows similar Total Cost of Ownership (TCO), with the vertical system showing slightly higher investment of $29,698, but spread out a bit more evenly during a 5 year planning cycle. </w:t>
      </w:r>
      <w:r w:rsidR="007A61A9">
        <w:rPr>
          <w:rStyle w:val="IntenseReference"/>
          <w:rFonts w:asciiTheme="majorHAnsi" w:hAnsiTheme="majorHAnsi" w:cstheme="majorHAnsi"/>
          <w:b w:val="0"/>
          <w:smallCaps w:val="0"/>
          <w:color w:val="auto"/>
          <w:u w:val="none"/>
        </w:rPr>
        <w:t>The net present value of the vertical system will be $70,408.</w:t>
      </w:r>
    </w:p>
    <w:p w:rsidR="0028592E" w:rsidRPr="000A22F1" w:rsidRDefault="0028592E" w:rsidP="0028592E">
      <w:pPr>
        <w:rPr>
          <w:rFonts w:asciiTheme="majorHAnsi" w:eastAsia="Times New Roman" w:hAnsiTheme="majorHAnsi" w:cstheme="majorHAnsi"/>
          <w:sz w:val="20"/>
          <w:szCs w:val="20"/>
        </w:rPr>
      </w:pPr>
    </w:p>
    <w:tbl>
      <w:tblPr>
        <w:tblW w:w="10840" w:type="dxa"/>
        <w:jc w:val="center"/>
        <w:tblInd w:w="96" w:type="dxa"/>
        <w:tblLook w:val="04A0" w:firstRow="1" w:lastRow="0" w:firstColumn="1" w:lastColumn="0" w:noHBand="0" w:noVBand="1"/>
      </w:tblPr>
      <w:tblGrid>
        <w:gridCol w:w="4100"/>
        <w:gridCol w:w="970"/>
        <w:gridCol w:w="970"/>
        <w:gridCol w:w="960"/>
        <w:gridCol w:w="960"/>
        <w:gridCol w:w="960"/>
        <w:gridCol w:w="960"/>
        <w:gridCol w:w="960"/>
      </w:tblGrid>
      <w:tr w:rsidR="0028592E" w:rsidRPr="0028592E" w:rsidTr="0028592E">
        <w:trPr>
          <w:trHeight w:val="264"/>
          <w:jc w:val="center"/>
        </w:trPr>
        <w:tc>
          <w:tcPr>
            <w:tcW w:w="6040" w:type="dxa"/>
            <w:gridSpan w:val="3"/>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b/>
                <w:bCs/>
                <w:sz w:val="18"/>
                <w:szCs w:val="18"/>
              </w:rPr>
            </w:pPr>
            <w:r w:rsidRPr="0028592E">
              <w:rPr>
                <w:rFonts w:asciiTheme="majorHAnsi" w:eastAsia="Times New Roman" w:hAnsiTheme="majorHAnsi" w:cstheme="majorHAnsi"/>
                <w:b/>
                <w:bCs/>
                <w:sz w:val="18"/>
                <w:szCs w:val="18"/>
              </w:rPr>
              <w:t>DATA FOR PLAN B: Purchase Vertical Software Package</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b/>
                <w:bCs/>
                <w:sz w:val="18"/>
                <w:szCs w:val="18"/>
              </w:rPr>
            </w:pP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b/>
                <w:bCs/>
                <w:sz w:val="18"/>
                <w:szCs w:val="18"/>
              </w:rPr>
            </w:pP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b/>
                <w:bCs/>
                <w:sz w:val="18"/>
                <w:szCs w:val="18"/>
              </w:rPr>
            </w:pP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b/>
                <w:bCs/>
                <w:sz w:val="18"/>
                <w:szCs w:val="18"/>
              </w:rPr>
            </w:pP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p>
        </w:tc>
      </w:tr>
      <w:tr w:rsidR="0028592E" w:rsidRPr="0028592E" w:rsidTr="0028592E">
        <w:trPr>
          <w:trHeight w:val="264"/>
          <w:jc w:val="center"/>
        </w:trPr>
        <w:tc>
          <w:tcPr>
            <w:tcW w:w="410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p>
        </w:tc>
        <w:tc>
          <w:tcPr>
            <w:tcW w:w="970" w:type="dxa"/>
            <w:tcBorders>
              <w:top w:val="nil"/>
              <w:left w:val="nil"/>
              <w:bottom w:val="single" w:sz="4" w:space="0" w:color="auto"/>
              <w:right w:val="nil"/>
            </w:tcBorders>
            <w:shd w:val="clear" w:color="auto" w:fill="auto"/>
            <w:noWrap/>
            <w:vAlign w:val="bottom"/>
            <w:hideMark/>
          </w:tcPr>
          <w:p w:rsidR="0028592E" w:rsidRPr="0028592E" w:rsidRDefault="0028592E" w:rsidP="0028592E">
            <w:pPr>
              <w:jc w:val="right"/>
              <w:rPr>
                <w:rFonts w:asciiTheme="majorHAnsi" w:eastAsia="Times New Roman" w:hAnsiTheme="majorHAnsi" w:cstheme="majorHAnsi"/>
                <w:b/>
                <w:bCs/>
                <w:sz w:val="18"/>
                <w:szCs w:val="18"/>
              </w:rPr>
            </w:pPr>
            <w:r w:rsidRPr="0028592E">
              <w:rPr>
                <w:rFonts w:asciiTheme="majorHAnsi" w:eastAsia="Times New Roman" w:hAnsiTheme="majorHAnsi" w:cstheme="majorHAnsi"/>
                <w:b/>
                <w:bCs/>
                <w:sz w:val="18"/>
                <w:szCs w:val="18"/>
              </w:rPr>
              <w:t>Year 0</w:t>
            </w:r>
          </w:p>
        </w:tc>
        <w:tc>
          <w:tcPr>
            <w:tcW w:w="970" w:type="dxa"/>
            <w:tcBorders>
              <w:top w:val="nil"/>
              <w:left w:val="nil"/>
              <w:bottom w:val="single" w:sz="4" w:space="0" w:color="auto"/>
              <w:right w:val="nil"/>
            </w:tcBorders>
            <w:shd w:val="clear" w:color="auto" w:fill="auto"/>
            <w:noWrap/>
            <w:vAlign w:val="bottom"/>
            <w:hideMark/>
          </w:tcPr>
          <w:p w:rsidR="0028592E" w:rsidRPr="0028592E" w:rsidRDefault="0028592E" w:rsidP="0028592E">
            <w:pPr>
              <w:jc w:val="right"/>
              <w:rPr>
                <w:rFonts w:asciiTheme="majorHAnsi" w:eastAsia="Times New Roman" w:hAnsiTheme="majorHAnsi" w:cstheme="majorHAnsi"/>
                <w:b/>
                <w:bCs/>
                <w:sz w:val="18"/>
                <w:szCs w:val="18"/>
              </w:rPr>
            </w:pPr>
            <w:r w:rsidRPr="0028592E">
              <w:rPr>
                <w:rFonts w:asciiTheme="majorHAnsi" w:eastAsia="Times New Roman" w:hAnsiTheme="majorHAnsi" w:cstheme="majorHAnsi"/>
                <w:b/>
                <w:bCs/>
                <w:sz w:val="18"/>
                <w:szCs w:val="18"/>
              </w:rPr>
              <w:t>Year 1</w:t>
            </w:r>
          </w:p>
        </w:tc>
        <w:tc>
          <w:tcPr>
            <w:tcW w:w="960" w:type="dxa"/>
            <w:tcBorders>
              <w:top w:val="nil"/>
              <w:left w:val="nil"/>
              <w:bottom w:val="single" w:sz="4" w:space="0" w:color="auto"/>
              <w:right w:val="nil"/>
            </w:tcBorders>
            <w:shd w:val="clear" w:color="auto" w:fill="auto"/>
            <w:noWrap/>
            <w:vAlign w:val="bottom"/>
            <w:hideMark/>
          </w:tcPr>
          <w:p w:rsidR="0028592E" w:rsidRPr="0028592E" w:rsidRDefault="0028592E" w:rsidP="0028592E">
            <w:pPr>
              <w:jc w:val="right"/>
              <w:rPr>
                <w:rFonts w:asciiTheme="majorHAnsi" w:eastAsia="Times New Roman" w:hAnsiTheme="majorHAnsi" w:cstheme="majorHAnsi"/>
                <w:b/>
                <w:bCs/>
                <w:sz w:val="18"/>
                <w:szCs w:val="18"/>
              </w:rPr>
            </w:pPr>
            <w:r w:rsidRPr="0028592E">
              <w:rPr>
                <w:rFonts w:asciiTheme="majorHAnsi" w:eastAsia="Times New Roman" w:hAnsiTheme="majorHAnsi" w:cstheme="majorHAnsi"/>
                <w:b/>
                <w:bCs/>
                <w:sz w:val="18"/>
                <w:szCs w:val="18"/>
              </w:rPr>
              <w:t>Year 2</w:t>
            </w:r>
          </w:p>
        </w:tc>
        <w:tc>
          <w:tcPr>
            <w:tcW w:w="960" w:type="dxa"/>
            <w:tcBorders>
              <w:top w:val="nil"/>
              <w:left w:val="nil"/>
              <w:bottom w:val="single" w:sz="4" w:space="0" w:color="auto"/>
              <w:right w:val="nil"/>
            </w:tcBorders>
            <w:shd w:val="clear" w:color="auto" w:fill="auto"/>
            <w:noWrap/>
            <w:vAlign w:val="bottom"/>
            <w:hideMark/>
          </w:tcPr>
          <w:p w:rsidR="0028592E" w:rsidRPr="0028592E" w:rsidRDefault="0028592E" w:rsidP="0028592E">
            <w:pPr>
              <w:jc w:val="right"/>
              <w:rPr>
                <w:rFonts w:asciiTheme="majorHAnsi" w:eastAsia="Times New Roman" w:hAnsiTheme="majorHAnsi" w:cstheme="majorHAnsi"/>
                <w:b/>
                <w:bCs/>
                <w:sz w:val="18"/>
                <w:szCs w:val="18"/>
              </w:rPr>
            </w:pPr>
            <w:r w:rsidRPr="0028592E">
              <w:rPr>
                <w:rFonts w:asciiTheme="majorHAnsi" w:eastAsia="Times New Roman" w:hAnsiTheme="majorHAnsi" w:cstheme="majorHAnsi"/>
                <w:b/>
                <w:bCs/>
                <w:sz w:val="18"/>
                <w:szCs w:val="18"/>
              </w:rPr>
              <w:t>Year 3</w:t>
            </w:r>
          </w:p>
        </w:tc>
        <w:tc>
          <w:tcPr>
            <w:tcW w:w="960" w:type="dxa"/>
            <w:tcBorders>
              <w:top w:val="nil"/>
              <w:left w:val="nil"/>
              <w:bottom w:val="single" w:sz="4" w:space="0" w:color="auto"/>
              <w:right w:val="nil"/>
            </w:tcBorders>
            <w:shd w:val="clear" w:color="auto" w:fill="auto"/>
            <w:noWrap/>
            <w:vAlign w:val="bottom"/>
            <w:hideMark/>
          </w:tcPr>
          <w:p w:rsidR="0028592E" w:rsidRPr="0028592E" w:rsidRDefault="0028592E" w:rsidP="0028592E">
            <w:pPr>
              <w:jc w:val="right"/>
              <w:rPr>
                <w:rFonts w:asciiTheme="majorHAnsi" w:eastAsia="Times New Roman" w:hAnsiTheme="majorHAnsi" w:cstheme="majorHAnsi"/>
                <w:b/>
                <w:bCs/>
                <w:sz w:val="18"/>
                <w:szCs w:val="18"/>
              </w:rPr>
            </w:pPr>
            <w:r w:rsidRPr="0028592E">
              <w:rPr>
                <w:rFonts w:asciiTheme="majorHAnsi" w:eastAsia="Times New Roman" w:hAnsiTheme="majorHAnsi" w:cstheme="majorHAnsi"/>
                <w:b/>
                <w:bCs/>
                <w:sz w:val="18"/>
                <w:szCs w:val="18"/>
              </w:rPr>
              <w:t>Year 4</w:t>
            </w:r>
          </w:p>
        </w:tc>
        <w:tc>
          <w:tcPr>
            <w:tcW w:w="960" w:type="dxa"/>
            <w:tcBorders>
              <w:top w:val="nil"/>
              <w:left w:val="nil"/>
              <w:bottom w:val="single" w:sz="4" w:space="0" w:color="auto"/>
              <w:right w:val="nil"/>
            </w:tcBorders>
            <w:shd w:val="clear" w:color="auto" w:fill="auto"/>
            <w:noWrap/>
            <w:vAlign w:val="bottom"/>
            <w:hideMark/>
          </w:tcPr>
          <w:p w:rsidR="0028592E" w:rsidRPr="0028592E" w:rsidRDefault="0028592E" w:rsidP="0028592E">
            <w:pPr>
              <w:jc w:val="right"/>
              <w:rPr>
                <w:rFonts w:asciiTheme="majorHAnsi" w:eastAsia="Times New Roman" w:hAnsiTheme="majorHAnsi" w:cstheme="majorHAnsi"/>
                <w:b/>
                <w:bCs/>
                <w:sz w:val="18"/>
                <w:szCs w:val="18"/>
              </w:rPr>
            </w:pPr>
            <w:r w:rsidRPr="0028592E">
              <w:rPr>
                <w:rFonts w:asciiTheme="majorHAnsi" w:eastAsia="Times New Roman" w:hAnsiTheme="majorHAnsi" w:cstheme="majorHAnsi"/>
                <w:b/>
                <w:bCs/>
                <w:sz w:val="18"/>
                <w:szCs w:val="18"/>
              </w:rPr>
              <w:t>Year 5</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p>
        </w:tc>
      </w:tr>
      <w:tr w:rsidR="0028592E" w:rsidRPr="0028592E" w:rsidTr="0028592E">
        <w:trPr>
          <w:trHeight w:val="264"/>
          <w:jc w:val="center"/>
        </w:trPr>
        <w:tc>
          <w:tcPr>
            <w:tcW w:w="4100" w:type="dxa"/>
            <w:tcBorders>
              <w:top w:val="nil"/>
              <w:left w:val="nil"/>
              <w:bottom w:val="nil"/>
              <w:right w:val="nil"/>
            </w:tcBorders>
            <w:shd w:val="clear" w:color="auto" w:fill="auto"/>
            <w:noWrap/>
            <w:vAlign w:val="bottom"/>
            <w:hideMark/>
          </w:tcPr>
          <w:p w:rsidR="0028592E" w:rsidRPr="0028592E" w:rsidRDefault="0028592E" w:rsidP="0028592E">
            <w:pPr>
              <w:jc w:val="center"/>
              <w:rPr>
                <w:rFonts w:asciiTheme="majorHAnsi" w:eastAsia="Times New Roman" w:hAnsiTheme="majorHAnsi" w:cstheme="majorHAnsi"/>
                <w:b/>
                <w:bCs/>
                <w:sz w:val="18"/>
                <w:szCs w:val="18"/>
              </w:rPr>
            </w:pPr>
            <w:r w:rsidRPr="0028592E">
              <w:rPr>
                <w:rFonts w:asciiTheme="majorHAnsi" w:eastAsia="Times New Roman" w:hAnsiTheme="majorHAnsi" w:cstheme="majorHAnsi"/>
                <w:b/>
                <w:bCs/>
                <w:sz w:val="18"/>
                <w:szCs w:val="18"/>
              </w:rPr>
              <w:t>Costs:</w:t>
            </w:r>
          </w:p>
        </w:tc>
        <w:tc>
          <w:tcPr>
            <w:tcW w:w="97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p>
        </w:tc>
        <w:tc>
          <w:tcPr>
            <w:tcW w:w="97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p>
        </w:tc>
      </w:tr>
      <w:tr w:rsidR="0028592E" w:rsidRPr="0028592E" w:rsidTr="0028592E">
        <w:trPr>
          <w:trHeight w:val="264"/>
          <w:jc w:val="center"/>
        </w:trPr>
        <w:tc>
          <w:tcPr>
            <w:tcW w:w="410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Purchase price for vendor package </w:t>
            </w:r>
          </w:p>
        </w:tc>
        <w:tc>
          <w:tcPr>
            <w:tcW w:w="97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3,000 </w:t>
            </w:r>
          </w:p>
        </w:tc>
        <w:tc>
          <w:tcPr>
            <w:tcW w:w="97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3,000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3,000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p>
        </w:tc>
      </w:tr>
      <w:tr w:rsidR="0028592E" w:rsidRPr="0028592E" w:rsidTr="0028592E">
        <w:trPr>
          <w:trHeight w:val="264"/>
          <w:jc w:val="center"/>
        </w:trPr>
        <w:tc>
          <w:tcPr>
            <w:tcW w:w="410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Tech support contract </w:t>
            </w:r>
          </w:p>
        </w:tc>
        <w:tc>
          <w:tcPr>
            <w:tcW w:w="97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7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500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500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500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500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500 </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p>
        </w:tc>
      </w:tr>
      <w:tr w:rsidR="0028592E" w:rsidRPr="0028592E" w:rsidTr="0028592E">
        <w:trPr>
          <w:trHeight w:val="264"/>
          <w:jc w:val="center"/>
        </w:trPr>
        <w:tc>
          <w:tcPr>
            <w:tcW w:w="410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Consultant time to install, configure, and test </w:t>
            </w:r>
          </w:p>
        </w:tc>
        <w:tc>
          <w:tcPr>
            <w:tcW w:w="970" w:type="dxa"/>
            <w:tcBorders>
              <w:top w:val="nil"/>
              <w:left w:val="nil"/>
              <w:bottom w:val="nil"/>
              <w:right w:val="nil"/>
            </w:tcBorders>
            <w:shd w:val="clear" w:color="auto" w:fill="auto"/>
            <w:noWrap/>
            <w:vAlign w:val="bottom"/>
            <w:hideMark/>
          </w:tcPr>
          <w:p w:rsidR="0028592E" w:rsidRPr="0028592E" w:rsidRDefault="0028592E" w:rsidP="0028592E">
            <w:pPr>
              <w:jc w:val="right"/>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4,800</w:t>
            </w:r>
          </w:p>
        </w:tc>
        <w:tc>
          <w:tcPr>
            <w:tcW w:w="97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p>
        </w:tc>
      </w:tr>
      <w:tr w:rsidR="0028592E" w:rsidRPr="0028592E" w:rsidTr="0028592E">
        <w:trPr>
          <w:trHeight w:val="264"/>
          <w:jc w:val="center"/>
        </w:trPr>
        <w:tc>
          <w:tcPr>
            <w:tcW w:w="410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Hardware </w:t>
            </w:r>
          </w:p>
        </w:tc>
        <w:tc>
          <w:tcPr>
            <w:tcW w:w="97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5,000 </w:t>
            </w:r>
          </w:p>
        </w:tc>
        <w:tc>
          <w:tcPr>
            <w:tcW w:w="97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p>
        </w:tc>
      </w:tr>
      <w:tr w:rsidR="0028592E" w:rsidRPr="0028592E" w:rsidTr="0028592E">
        <w:trPr>
          <w:trHeight w:val="264"/>
          <w:jc w:val="center"/>
        </w:trPr>
        <w:tc>
          <w:tcPr>
            <w:tcW w:w="410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Consultant training time </w:t>
            </w:r>
          </w:p>
        </w:tc>
        <w:tc>
          <w:tcPr>
            <w:tcW w:w="97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3,900 </w:t>
            </w:r>
          </w:p>
        </w:tc>
        <w:tc>
          <w:tcPr>
            <w:tcW w:w="97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p>
        </w:tc>
      </w:tr>
      <w:tr w:rsidR="0028592E" w:rsidRPr="0028592E" w:rsidTr="0028592E">
        <w:trPr>
          <w:trHeight w:val="264"/>
          <w:jc w:val="center"/>
        </w:trPr>
        <w:tc>
          <w:tcPr>
            <w:tcW w:w="410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Office staff maintenance, backup, and update </w:t>
            </w:r>
          </w:p>
        </w:tc>
        <w:tc>
          <w:tcPr>
            <w:tcW w:w="97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1,768 </w:t>
            </w:r>
          </w:p>
        </w:tc>
        <w:tc>
          <w:tcPr>
            <w:tcW w:w="97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p>
        </w:tc>
      </w:tr>
      <w:tr w:rsidR="0028592E" w:rsidRPr="0028592E" w:rsidTr="0028592E">
        <w:trPr>
          <w:trHeight w:val="276"/>
          <w:jc w:val="center"/>
        </w:trPr>
        <w:tc>
          <w:tcPr>
            <w:tcW w:w="4100" w:type="dxa"/>
            <w:tcBorders>
              <w:top w:val="nil"/>
              <w:left w:val="nil"/>
              <w:bottom w:val="nil"/>
              <w:right w:val="nil"/>
            </w:tcBorders>
            <w:shd w:val="clear" w:color="auto" w:fill="auto"/>
            <w:noWrap/>
            <w:vAlign w:val="bottom"/>
            <w:hideMark/>
          </w:tcPr>
          <w:p w:rsidR="0028592E" w:rsidRPr="0028592E" w:rsidRDefault="0028592E" w:rsidP="0028592E">
            <w:pPr>
              <w:jc w:val="right"/>
              <w:rPr>
                <w:rFonts w:asciiTheme="majorHAnsi" w:eastAsia="Times New Roman" w:hAnsiTheme="majorHAnsi" w:cstheme="majorHAnsi"/>
                <w:b/>
                <w:bCs/>
                <w:sz w:val="18"/>
                <w:szCs w:val="18"/>
              </w:rPr>
            </w:pPr>
            <w:r w:rsidRPr="0028592E">
              <w:rPr>
                <w:rFonts w:asciiTheme="majorHAnsi" w:eastAsia="Times New Roman" w:hAnsiTheme="majorHAnsi" w:cstheme="majorHAnsi"/>
                <w:b/>
                <w:bCs/>
                <w:sz w:val="18"/>
                <w:szCs w:val="18"/>
              </w:rPr>
              <w:t xml:space="preserve"> Total Costs: </w:t>
            </w:r>
          </w:p>
        </w:tc>
        <w:tc>
          <w:tcPr>
            <w:tcW w:w="970" w:type="dxa"/>
            <w:tcBorders>
              <w:top w:val="single" w:sz="4" w:space="0" w:color="auto"/>
              <w:left w:val="nil"/>
              <w:bottom w:val="double" w:sz="6" w:space="0" w:color="auto"/>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18,468 </w:t>
            </w:r>
          </w:p>
        </w:tc>
        <w:tc>
          <w:tcPr>
            <w:tcW w:w="970" w:type="dxa"/>
            <w:tcBorders>
              <w:top w:val="single" w:sz="4" w:space="0" w:color="auto"/>
              <w:left w:val="nil"/>
              <w:bottom w:val="double" w:sz="6" w:space="0" w:color="auto"/>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3,500 </w:t>
            </w:r>
          </w:p>
        </w:tc>
        <w:tc>
          <w:tcPr>
            <w:tcW w:w="960" w:type="dxa"/>
            <w:tcBorders>
              <w:top w:val="single" w:sz="4" w:space="0" w:color="auto"/>
              <w:left w:val="nil"/>
              <w:bottom w:val="double" w:sz="6" w:space="0" w:color="auto"/>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3,500 </w:t>
            </w:r>
          </w:p>
        </w:tc>
        <w:tc>
          <w:tcPr>
            <w:tcW w:w="960" w:type="dxa"/>
            <w:tcBorders>
              <w:top w:val="single" w:sz="4" w:space="0" w:color="auto"/>
              <w:left w:val="nil"/>
              <w:bottom w:val="double" w:sz="6" w:space="0" w:color="auto"/>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500 </w:t>
            </w:r>
          </w:p>
        </w:tc>
        <w:tc>
          <w:tcPr>
            <w:tcW w:w="960" w:type="dxa"/>
            <w:tcBorders>
              <w:top w:val="single" w:sz="4" w:space="0" w:color="auto"/>
              <w:left w:val="nil"/>
              <w:bottom w:val="double" w:sz="6" w:space="0" w:color="auto"/>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500 </w:t>
            </w:r>
          </w:p>
        </w:tc>
        <w:tc>
          <w:tcPr>
            <w:tcW w:w="960" w:type="dxa"/>
            <w:tcBorders>
              <w:top w:val="single" w:sz="4" w:space="0" w:color="auto"/>
              <w:left w:val="nil"/>
              <w:bottom w:val="double" w:sz="6" w:space="0" w:color="auto"/>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500 </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26,968 </w:t>
            </w:r>
          </w:p>
        </w:tc>
      </w:tr>
    </w:tbl>
    <w:p w:rsidR="0028592E" w:rsidRPr="000A22F1" w:rsidRDefault="0028592E" w:rsidP="005A1FFE">
      <w:pPr>
        <w:rPr>
          <w:rStyle w:val="IntenseReference"/>
          <w:rFonts w:asciiTheme="majorHAnsi" w:hAnsiTheme="majorHAnsi" w:cstheme="majorHAnsi"/>
          <w:b w:val="0"/>
          <w:smallCaps w:val="0"/>
          <w:color w:val="auto"/>
          <w:u w:val="none"/>
        </w:rPr>
      </w:pPr>
    </w:p>
    <w:p w:rsidR="0028592E" w:rsidRPr="000A22F1" w:rsidRDefault="0028592E" w:rsidP="005A1FFE">
      <w:pPr>
        <w:rPr>
          <w:rStyle w:val="IntenseReference"/>
          <w:rFonts w:asciiTheme="majorHAnsi" w:hAnsiTheme="majorHAnsi" w:cstheme="majorHAnsi"/>
          <w:b w:val="0"/>
          <w:smallCaps w:val="0"/>
          <w:color w:val="auto"/>
          <w:u w:val="none"/>
        </w:rPr>
      </w:pPr>
    </w:p>
    <w:p w:rsidR="005A1FFE" w:rsidRPr="000A22F1" w:rsidRDefault="008963D4" w:rsidP="005A1FFE">
      <w:pPr>
        <w:rPr>
          <w:rStyle w:val="IntenseReference"/>
          <w:rFonts w:asciiTheme="majorHAnsi" w:hAnsiTheme="majorHAnsi" w:cstheme="majorHAnsi"/>
          <w:b w:val="0"/>
          <w:smallCaps w:val="0"/>
          <w:color w:val="auto"/>
          <w:u w:val="none"/>
        </w:rPr>
      </w:pPr>
      <w:r w:rsidRPr="000A22F1">
        <w:rPr>
          <w:rStyle w:val="IntenseReference"/>
          <w:rFonts w:asciiTheme="majorHAnsi" w:hAnsiTheme="majorHAnsi" w:cstheme="majorHAnsi"/>
          <w:b w:val="0"/>
          <w:smallCaps w:val="0"/>
          <w:color w:val="auto"/>
          <w:u w:val="none"/>
        </w:rPr>
        <w:t>The in-house plan will have a higher cost of initial investment</w:t>
      </w:r>
      <w:r w:rsidR="0028592E" w:rsidRPr="000A22F1">
        <w:rPr>
          <w:rStyle w:val="IntenseReference"/>
          <w:rFonts w:asciiTheme="majorHAnsi" w:hAnsiTheme="majorHAnsi" w:cstheme="majorHAnsi"/>
          <w:b w:val="0"/>
          <w:smallCaps w:val="0"/>
          <w:color w:val="auto"/>
          <w:u w:val="none"/>
        </w:rPr>
        <w:t>, and slightly higher overall cost</w:t>
      </w:r>
      <w:r w:rsidR="007A61A9">
        <w:rPr>
          <w:rStyle w:val="IntenseReference"/>
          <w:rFonts w:asciiTheme="majorHAnsi" w:hAnsiTheme="majorHAnsi" w:cstheme="majorHAnsi"/>
          <w:b w:val="0"/>
          <w:smallCaps w:val="0"/>
          <w:color w:val="auto"/>
          <w:u w:val="none"/>
        </w:rPr>
        <w:t>, which translates to a Net Present Value of $68,370</w:t>
      </w:r>
      <w:r w:rsidR="0028592E" w:rsidRPr="000A22F1">
        <w:rPr>
          <w:rStyle w:val="IntenseReference"/>
          <w:rFonts w:asciiTheme="majorHAnsi" w:hAnsiTheme="majorHAnsi" w:cstheme="majorHAnsi"/>
          <w:b w:val="0"/>
          <w:smallCaps w:val="0"/>
          <w:color w:val="auto"/>
          <w:u w:val="none"/>
        </w:rPr>
        <w:t>.</w:t>
      </w:r>
    </w:p>
    <w:p w:rsidR="0028592E" w:rsidRPr="000A22F1" w:rsidRDefault="0028592E" w:rsidP="005A1FFE">
      <w:pPr>
        <w:rPr>
          <w:rStyle w:val="IntenseReference"/>
          <w:rFonts w:asciiTheme="majorHAnsi" w:hAnsiTheme="majorHAnsi" w:cstheme="majorHAnsi"/>
          <w:b w:val="0"/>
          <w:smallCaps w:val="0"/>
          <w:color w:val="auto"/>
          <w:u w:val="none"/>
        </w:rPr>
      </w:pPr>
    </w:p>
    <w:tbl>
      <w:tblPr>
        <w:tblW w:w="10974" w:type="dxa"/>
        <w:jc w:val="center"/>
        <w:tblInd w:w="96" w:type="dxa"/>
        <w:tblLook w:val="04A0" w:firstRow="1" w:lastRow="0" w:firstColumn="1" w:lastColumn="0" w:noHBand="0" w:noVBand="1"/>
      </w:tblPr>
      <w:tblGrid>
        <w:gridCol w:w="4158"/>
        <w:gridCol w:w="984"/>
        <w:gridCol w:w="972"/>
        <w:gridCol w:w="972"/>
        <w:gridCol w:w="972"/>
        <w:gridCol w:w="972"/>
        <w:gridCol w:w="972"/>
        <w:gridCol w:w="972"/>
      </w:tblGrid>
      <w:tr w:rsidR="00692511" w:rsidRPr="00692511" w:rsidTr="00692511">
        <w:trPr>
          <w:trHeight w:val="187"/>
          <w:jc w:val="center"/>
        </w:trPr>
        <w:tc>
          <w:tcPr>
            <w:tcW w:w="5142" w:type="dxa"/>
            <w:gridSpan w:val="2"/>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b/>
                <w:bCs/>
                <w:sz w:val="20"/>
                <w:szCs w:val="20"/>
              </w:rPr>
            </w:pPr>
            <w:r w:rsidRPr="00692511">
              <w:rPr>
                <w:rFonts w:ascii="Arial" w:eastAsia="Times New Roman" w:hAnsi="Arial" w:cs="Arial"/>
                <w:b/>
                <w:bCs/>
                <w:sz w:val="20"/>
                <w:szCs w:val="20"/>
              </w:rPr>
              <w:t>DATA FOR PLAN A: In-House Development</w:t>
            </w:r>
          </w:p>
        </w:tc>
        <w:tc>
          <w:tcPr>
            <w:tcW w:w="972" w:type="dxa"/>
            <w:tcBorders>
              <w:top w:val="nil"/>
              <w:left w:val="nil"/>
              <w:bottom w:val="nil"/>
              <w:right w:val="nil"/>
            </w:tcBorders>
            <w:shd w:val="clear" w:color="auto" w:fill="auto"/>
            <w:noWrap/>
            <w:vAlign w:val="bottom"/>
            <w:hideMark/>
          </w:tcPr>
          <w:p w:rsidR="00692511" w:rsidRPr="00692511" w:rsidRDefault="00692511" w:rsidP="00692511">
            <w:pPr>
              <w:jc w:val="center"/>
              <w:rPr>
                <w:rFonts w:ascii="Arial" w:eastAsia="Times New Roman" w:hAnsi="Arial" w:cs="Arial"/>
                <w:b/>
                <w:bCs/>
                <w:sz w:val="18"/>
                <w:szCs w:val="18"/>
              </w:rPr>
            </w:pPr>
          </w:p>
        </w:tc>
        <w:tc>
          <w:tcPr>
            <w:tcW w:w="972" w:type="dxa"/>
            <w:tcBorders>
              <w:top w:val="nil"/>
              <w:left w:val="nil"/>
              <w:bottom w:val="nil"/>
              <w:right w:val="nil"/>
            </w:tcBorders>
            <w:shd w:val="clear" w:color="auto" w:fill="auto"/>
            <w:noWrap/>
            <w:vAlign w:val="bottom"/>
            <w:hideMark/>
          </w:tcPr>
          <w:p w:rsidR="00692511" w:rsidRPr="00692511" w:rsidRDefault="00692511" w:rsidP="00692511">
            <w:pPr>
              <w:jc w:val="center"/>
              <w:rPr>
                <w:rFonts w:ascii="Arial" w:eastAsia="Times New Roman" w:hAnsi="Arial" w:cs="Arial"/>
                <w:b/>
                <w:bCs/>
                <w:sz w:val="18"/>
                <w:szCs w:val="18"/>
              </w:rPr>
            </w:pPr>
          </w:p>
        </w:tc>
        <w:tc>
          <w:tcPr>
            <w:tcW w:w="972" w:type="dxa"/>
            <w:tcBorders>
              <w:top w:val="nil"/>
              <w:left w:val="nil"/>
              <w:bottom w:val="nil"/>
              <w:right w:val="nil"/>
            </w:tcBorders>
            <w:shd w:val="clear" w:color="auto" w:fill="auto"/>
            <w:noWrap/>
            <w:vAlign w:val="bottom"/>
            <w:hideMark/>
          </w:tcPr>
          <w:p w:rsidR="00692511" w:rsidRPr="00692511" w:rsidRDefault="00692511" w:rsidP="00692511">
            <w:pPr>
              <w:jc w:val="center"/>
              <w:rPr>
                <w:rFonts w:ascii="Arial" w:eastAsia="Times New Roman" w:hAnsi="Arial" w:cs="Arial"/>
                <w:b/>
                <w:bCs/>
                <w:sz w:val="18"/>
                <w:szCs w:val="18"/>
              </w:rPr>
            </w:pPr>
          </w:p>
        </w:tc>
        <w:tc>
          <w:tcPr>
            <w:tcW w:w="972" w:type="dxa"/>
            <w:tcBorders>
              <w:top w:val="nil"/>
              <w:left w:val="nil"/>
              <w:bottom w:val="nil"/>
              <w:right w:val="nil"/>
            </w:tcBorders>
            <w:shd w:val="clear" w:color="auto" w:fill="auto"/>
            <w:noWrap/>
            <w:vAlign w:val="bottom"/>
            <w:hideMark/>
          </w:tcPr>
          <w:p w:rsidR="00692511" w:rsidRPr="00692511" w:rsidRDefault="00692511" w:rsidP="00692511">
            <w:pPr>
              <w:jc w:val="center"/>
              <w:rPr>
                <w:rFonts w:ascii="Arial" w:eastAsia="Times New Roman" w:hAnsi="Arial" w:cs="Arial"/>
                <w:b/>
                <w:bCs/>
                <w:sz w:val="18"/>
                <w:szCs w:val="18"/>
              </w:rPr>
            </w:pPr>
          </w:p>
        </w:tc>
        <w:tc>
          <w:tcPr>
            <w:tcW w:w="972" w:type="dxa"/>
            <w:tcBorders>
              <w:top w:val="nil"/>
              <w:left w:val="nil"/>
              <w:bottom w:val="nil"/>
              <w:right w:val="nil"/>
            </w:tcBorders>
            <w:shd w:val="clear" w:color="auto" w:fill="auto"/>
            <w:noWrap/>
            <w:vAlign w:val="bottom"/>
            <w:hideMark/>
          </w:tcPr>
          <w:p w:rsidR="00692511" w:rsidRPr="00692511" w:rsidRDefault="00692511" w:rsidP="00692511">
            <w:pPr>
              <w:jc w:val="center"/>
              <w:rPr>
                <w:rFonts w:ascii="Arial" w:eastAsia="Times New Roman" w:hAnsi="Arial" w:cs="Arial"/>
                <w:b/>
                <w:bCs/>
                <w:sz w:val="18"/>
                <w:szCs w:val="18"/>
              </w:rPr>
            </w:pPr>
          </w:p>
        </w:tc>
        <w:tc>
          <w:tcPr>
            <w:tcW w:w="972"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20"/>
                <w:szCs w:val="20"/>
              </w:rPr>
            </w:pPr>
          </w:p>
        </w:tc>
      </w:tr>
      <w:tr w:rsidR="00692511" w:rsidRPr="00692511" w:rsidTr="00692511">
        <w:trPr>
          <w:trHeight w:val="187"/>
          <w:jc w:val="center"/>
        </w:trPr>
        <w:tc>
          <w:tcPr>
            <w:tcW w:w="4158"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18"/>
                <w:szCs w:val="18"/>
              </w:rPr>
            </w:pPr>
          </w:p>
        </w:tc>
        <w:tc>
          <w:tcPr>
            <w:tcW w:w="984" w:type="dxa"/>
            <w:tcBorders>
              <w:top w:val="nil"/>
              <w:left w:val="nil"/>
              <w:bottom w:val="single" w:sz="4" w:space="0" w:color="auto"/>
              <w:right w:val="nil"/>
            </w:tcBorders>
            <w:shd w:val="clear" w:color="auto" w:fill="auto"/>
            <w:noWrap/>
            <w:vAlign w:val="bottom"/>
            <w:hideMark/>
          </w:tcPr>
          <w:p w:rsidR="00692511" w:rsidRPr="00692511" w:rsidRDefault="00692511" w:rsidP="00692511">
            <w:pPr>
              <w:jc w:val="right"/>
              <w:rPr>
                <w:rFonts w:ascii="Arial" w:eastAsia="Times New Roman" w:hAnsi="Arial" w:cs="Arial"/>
                <w:b/>
                <w:bCs/>
                <w:sz w:val="18"/>
                <w:szCs w:val="18"/>
              </w:rPr>
            </w:pPr>
            <w:r w:rsidRPr="00692511">
              <w:rPr>
                <w:rFonts w:ascii="Arial" w:eastAsia="Times New Roman" w:hAnsi="Arial" w:cs="Arial"/>
                <w:b/>
                <w:bCs/>
                <w:sz w:val="18"/>
                <w:szCs w:val="18"/>
              </w:rPr>
              <w:t>Year 0</w:t>
            </w:r>
          </w:p>
        </w:tc>
        <w:tc>
          <w:tcPr>
            <w:tcW w:w="972" w:type="dxa"/>
            <w:tcBorders>
              <w:top w:val="nil"/>
              <w:left w:val="nil"/>
              <w:bottom w:val="single" w:sz="4" w:space="0" w:color="auto"/>
              <w:right w:val="nil"/>
            </w:tcBorders>
            <w:shd w:val="clear" w:color="auto" w:fill="auto"/>
            <w:noWrap/>
            <w:vAlign w:val="bottom"/>
            <w:hideMark/>
          </w:tcPr>
          <w:p w:rsidR="00692511" w:rsidRPr="00692511" w:rsidRDefault="00692511" w:rsidP="00692511">
            <w:pPr>
              <w:jc w:val="right"/>
              <w:rPr>
                <w:rFonts w:ascii="Arial" w:eastAsia="Times New Roman" w:hAnsi="Arial" w:cs="Arial"/>
                <w:b/>
                <w:bCs/>
                <w:sz w:val="18"/>
                <w:szCs w:val="18"/>
              </w:rPr>
            </w:pPr>
            <w:r w:rsidRPr="00692511">
              <w:rPr>
                <w:rFonts w:ascii="Arial" w:eastAsia="Times New Roman" w:hAnsi="Arial" w:cs="Arial"/>
                <w:b/>
                <w:bCs/>
                <w:sz w:val="18"/>
                <w:szCs w:val="18"/>
              </w:rPr>
              <w:t>Year 1</w:t>
            </w:r>
          </w:p>
        </w:tc>
        <w:tc>
          <w:tcPr>
            <w:tcW w:w="972" w:type="dxa"/>
            <w:tcBorders>
              <w:top w:val="nil"/>
              <w:left w:val="nil"/>
              <w:bottom w:val="single" w:sz="4" w:space="0" w:color="auto"/>
              <w:right w:val="nil"/>
            </w:tcBorders>
            <w:shd w:val="clear" w:color="auto" w:fill="auto"/>
            <w:noWrap/>
            <w:vAlign w:val="bottom"/>
            <w:hideMark/>
          </w:tcPr>
          <w:p w:rsidR="00692511" w:rsidRPr="00692511" w:rsidRDefault="00692511" w:rsidP="00692511">
            <w:pPr>
              <w:jc w:val="right"/>
              <w:rPr>
                <w:rFonts w:ascii="Arial" w:eastAsia="Times New Roman" w:hAnsi="Arial" w:cs="Arial"/>
                <w:b/>
                <w:bCs/>
                <w:sz w:val="18"/>
                <w:szCs w:val="18"/>
              </w:rPr>
            </w:pPr>
            <w:r w:rsidRPr="00692511">
              <w:rPr>
                <w:rFonts w:ascii="Arial" w:eastAsia="Times New Roman" w:hAnsi="Arial" w:cs="Arial"/>
                <w:b/>
                <w:bCs/>
                <w:sz w:val="18"/>
                <w:szCs w:val="18"/>
              </w:rPr>
              <w:t>Year 2</w:t>
            </w:r>
          </w:p>
        </w:tc>
        <w:tc>
          <w:tcPr>
            <w:tcW w:w="972" w:type="dxa"/>
            <w:tcBorders>
              <w:top w:val="nil"/>
              <w:left w:val="nil"/>
              <w:bottom w:val="single" w:sz="4" w:space="0" w:color="auto"/>
              <w:right w:val="nil"/>
            </w:tcBorders>
            <w:shd w:val="clear" w:color="auto" w:fill="auto"/>
            <w:noWrap/>
            <w:vAlign w:val="bottom"/>
            <w:hideMark/>
          </w:tcPr>
          <w:p w:rsidR="00692511" w:rsidRPr="00692511" w:rsidRDefault="00692511" w:rsidP="00692511">
            <w:pPr>
              <w:jc w:val="right"/>
              <w:rPr>
                <w:rFonts w:ascii="Arial" w:eastAsia="Times New Roman" w:hAnsi="Arial" w:cs="Arial"/>
                <w:b/>
                <w:bCs/>
                <w:sz w:val="18"/>
                <w:szCs w:val="18"/>
              </w:rPr>
            </w:pPr>
            <w:r w:rsidRPr="00692511">
              <w:rPr>
                <w:rFonts w:ascii="Arial" w:eastAsia="Times New Roman" w:hAnsi="Arial" w:cs="Arial"/>
                <w:b/>
                <w:bCs/>
                <w:sz w:val="18"/>
                <w:szCs w:val="18"/>
              </w:rPr>
              <w:t>Year 3</w:t>
            </w:r>
          </w:p>
        </w:tc>
        <w:tc>
          <w:tcPr>
            <w:tcW w:w="972" w:type="dxa"/>
            <w:tcBorders>
              <w:top w:val="nil"/>
              <w:left w:val="nil"/>
              <w:bottom w:val="single" w:sz="4" w:space="0" w:color="auto"/>
              <w:right w:val="nil"/>
            </w:tcBorders>
            <w:shd w:val="clear" w:color="auto" w:fill="auto"/>
            <w:noWrap/>
            <w:vAlign w:val="bottom"/>
            <w:hideMark/>
          </w:tcPr>
          <w:p w:rsidR="00692511" w:rsidRPr="00692511" w:rsidRDefault="00692511" w:rsidP="00692511">
            <w:pPr>
              <w:jc w:val="right"/>
              <w:rPr>
                <w:rFonts w:ascii="Arial" w:eastAsia="Times New Roman" w:hAnsi="Arial" w:cs="Arial"/>
                <w:b/>
                <w:bCs/>
                <w:sz w:val="18"/>
                <w:szCs w:val="18"/>
              </w:rPr>
            </w:pPr>
            <w:r w:rsidRPr="00692511">
              <w:rPr>
                <w:rFonts w:ascii="Arial" w:eastAsia="Times New Roman" w:hAnsi="Arial" w:cs="Arial"/>
                <w:b/>
                <w:bCs/>
                <w:sz w:val="18"/>
                <w:szCs w:val="18"/>
              </w:rPr>
              <w:t>Year 4</w:t>
            </w:r>
          </w:p>
        </w:tc>
        <w:tc>
          <w:tcPr>
            <w:tcW w:w="972" w:type="dxa"/>
            <w:tcBorders>
              <w:top w:val="nil"/>
              <w:left w:val="nil"/>
              <w:bottom w:val="single" w:sz="4" w:space="0" w:color="auto"/>
              <w:right w:val="nil"/>
            </w:tcBorders>
            <w:shd w:val="clear" w:color="auto" w:fill="auto"/>
            <w:noWrap/>
            <w:vAlign w:val="bottom"/>
            <w:hideMark/>
          </w:tcPr>
          <w:p w:rsidR="00692511" w:rsidRPr="00692511" w:rsidRDefault="00692511" w:rsidP="00692511">
            <w:pPr>
              <w:jc w:val="right"/>
              <w:rPr>
                <w:rFonts w:ascii="Arial" w:eastAsia="Times New Roman" w:hAnsi="Arial" w:cs="Arial"/>
                <w:b/>
                <w:bCs/>
                <w:sz w:val="18"/>
                <w:szCs w:val="18"/>
              </w:rPr>
            </w:pPr>
            <w:r w:rsidRPr="00692511">
              <w:rPr>
                <w:rFonts w:ascii="Arial" w:eastAsia="Times New Roman" w:hAnsi="Arial" w:cs="Arial"/>
                <w:b/>
                <w:bCs/>
                <w:sz w:val="18"/>
                <w:szCs w:val="18"/>
              </w:rPr>
              <w:t>Year 5</w:t>
            </w:r>
          </w:p>
        </w:tc>
        <w:tc>
          <w:tcPr>
            <w:tcW w:w="972"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20"/>
                <w:szCs w:val="20"/>
              </w:rPr>
            </w:pPr>
          </w:p>
        </w:tc>
      </w:tr>
      <w:tr w:rsidR="00692511" w:rsidRPr="00692511" w:rsidTr="00692511">
        <w:trPr>
          <w:trHeight w:val="187"/>
          <w:jc w:val="center"/>
        </w:trPr>
        <w:tc>
          <w:tcPr>
            <w:tcW w:w="4158" w:type="dxa"/>
            <w:tcBorders>
              <w:top w:val="nil"/>
              <w:left w:val="nil"/>
              <w:bottom w:val="nil"/>
              <w:right w:val="nil"/>
            </w:tcBorders>
            <w:shd w:val="clear" w:color="auto" w:fill="auto"/>
            <w:noWrap/>
            <w:vAlign w:val="bottom"/>
            <w:hideMark/>
          </w:tcPr>
          <w:p w:rsidR="00692511" w:rsidRPr="00692511" w:rsidRDefault="00692511" w:rsidP="00692511">
            <w:pPr>
              <w:jc w:val="center"/>
              <w:rPr>
                <w:rFonts w:ascii="Arial" w:eastAsia="Times New Roman" w:hAnsi="Arial" w:cs="Arial"/>
                <w:b/>
                <w:bCs/>
                <w:sz w:val="18"/>
                <w:szCs w:val="18"/>
              </w:rPr>
            </w:pPr>
            <w:r w:rsidRPr="00692511">
              <w:rPr>
                <w:rFonts w:ascii="Arial" w:eastAsia="Times New Roman" w:hAnsi="Arial" w:cs="Arial"/>
                <w:b/>
                <w:bCs/>
                <w:sz w:val="18"/>
                <w:szCs w:val="18"/>
              </w:rPr>
              <w:t>Costs:</w:t>
            </w:r>
          </w:p>
        </w:tc>
        <w:tc>
          <w:tcPr>
            <w:tcW w:w="984"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18"/>
                <w:szCs w:val="18"/>
              </w:rPr>
            </w:pPr>
          </w:p>
        </w:tc>
        <w:tc>
          <w:tcPr>
            <w:tcW w:w="972"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18"/>
                <w:szCs w:val="18"/>
              </w:rPr>
            </w:pPr>
          </w:p>
        </w:tc>
        <w:tc>
          <w:tcPr>
            <w:tcW w:w="972"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18"/>
                <w:szCs w:val="18"/>
              </w:rPr>
            </w:pPr>
          </w:p>
        </w:tc>
        <w:tc>
          <w:tcPr>
            <w:tcW w:w="972"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18"/>
                <w:szCs w:val="18"/>
              </w:rPr>
            </w:pPr>
          </w:p>
        </w:tc>
        <w:tc>
          <w:tcPr>
            <w:tcW w:w="972"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18"/>
                <w:szCs w:val="18"/>
              </w:rPr>
            </w:pPr>
          </w:p>
        </w:tc>
        <w:tc>
          <w:tcPr>
            <w:tcW w:w="972"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18"/>
                <w:szCs w:val="18"/>
              </w:rPr>
            </w:pPr>
          </w:p>
        </w:tc>
        <w:tc>
          <w:tcPr>
            <w:tcW w:w="972"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20"/>
                <w:szCs w:val="20"/>
              </w:rPr>
            </w:pPr>
          </w:p>
        </w:tc>
      </w:tr>
      <w:tr w:rsidR="00692511" w:rsidRPr="00692511" w:rsidTr="00692511">
        <w:trPr>
          <w:trHeight w:val="187"/>
          <w:jc w:val="center"/>
        </w:trPr>
        <w:tc>
          <w:tcPr>
            <w:tcW w:w="4158"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xml:space="preserve"> Consultant time to develop system </w:t>
            </w:r>
          </w:p>
        </w:tc>
        <w:tc>
          <w:tcPr>
            <w:tcW w:w="984"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xml:space="preserve">      14,440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20"/>
                <w:szCs w:val="20"/>
              </w:rPr>
            </w:pPr>
          </w:p>
        </w:tc>
      </w:tr>
      <w:tr w:rsidR="00692511" w:rsidRPr="00692511" w:rsidTr="00692511">
        <w:trPr>
          <w:trHeight w:val="187"/>
          <w:jc w:val="center"/>
        </w:trPr>
        <w:tc>
          <w:tcPr>
            <w:tcW w:w="4158"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xml:space="preserve"> Purchase necessary software platform </w:t>
            </w:r>
          </w:p>
        </w:tc>
        <w:tc>
          <w:tcPr>
            <w:tcW w:w="984" w:type="dxa"/>
            <w:tcBorders>
              <w:top w:val="nil"/>
              <w:left w:val="nil"/>
              <w:bottom w:val="nil"/>
              <w:right w:val="nil"/>
            </w:tcBorders>
            <w:shd w:val="clear" w:color="auto" w:fill="auto"/>
            <w:noWrap/>
            <w:vAlign w:val="bottom"/>
            <w:hideMark/>
          </w:tcPr>
          <w:p w:rsidR="00692511" w:rsidRPr="00692511" w:rsidRDefault="00692511" w:rsidP="00692511">
            <w:pPr>
              <w:jc w:val="right"/>
              <w:rPr>
                <w:rFonts w:ascii="Arial" w:eastAsia="Times New Roman" w:hAnsi="Arial" w:cs="Arial"/>
                <w:sz w:val="18"/>
                <w:szCs w:val="18"/>
              </w:rPr>
            </w:pPr>
            <w:r w:rsidRPr="00692511">
              <w:rPr>
                <w:rFonts w:ascii="Arial" w:eastAsia="Times New Roman" w:hAnsi="Arial" w:cs="Arial"/>
                <w:sz w:val="18"/>
                <w:szCs w:val="18"/>
              </w:rPr>
              <w:t>2,500</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20"/>
                <w:szCs w:val="20"/>
              </w:rPr>
            </w:pPr>
          </w:p>
        </w:tc>
      </w:tr>
      <w:tr w:rsidR="00692511" w:rsidRPr="00692511" w:rsidTr="00692511">
        <w:trPr>
          <w:trHeight w:val="187"/>
          <w:jc w:val="center"/>
        </w:trPr>
        <w:tc>
          <w:tcPr>
            <w:tcW w:w="4158"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xml:space="preserve"> Hardware </w:t>
            </w:r>
          </w:p>
        </w:tc>
        <w:tc>
          <w:tcPr>
            <w:tcW w:w="984"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xml:space="preserve">        5,000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20"/>
                <w:szCs w:val="20"/>
              </w:rPr>
            </w:pPr>
          </w:p>
        </w:tc>
      </w:tr>
      <w:tr w:rsidR="00692511" w:rsidRPr="00692511" w:rsidTr="00692511">
        <w:trPr>
          <w:trHeight w:val="187"/>
          <w:jc w:val="center"/>
        </w:trPr>
        <w:tc>
          <w:tcPr>
            <w:tcW w:w="4158"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xml:space="preserve"> Consultant training time </w:t>
            </w:r>
          </w:p>
        </w:tc>
        <w:tc>
          <w:tcPr>
            <w:tcW w:w="984"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xml:space="preserve">        3,900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20"/>
                <w:szCs w:val="20"/>
              </w:rPr>
            </w:pPr>
          </w:p>
        </w:tc>
      </w:tr>
      <w:tr w:rsidR="00692511" w:rsidRPr="00692511" w:rsidTr="00692511">
        <w:trPr>
          <w:trHeight w:val="187"/>
          <w:jc w:val="center"/>
        </w:trPr>
        <w:tc>
          <w:tcPr>
            <w:tcW w:w="4158"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xml:space="preserve"> Office staff maintenance, backup, and update </w:t>
            </w:r>
          </w:p>
        </w:tc>
        <w:tc>
          <w:tcPr>
            <w:tcW w:w="984"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xml:space="preserve">        1,768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000000" w:fill="FFFF99"/>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w:t>
            </w:r>
          </w:p>
        </w:tc>
        <w:tc>
          <w:tcPr>
            <w:tcW w:w="972"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20"/>
                <w:szCs w:val="20"/>
              </w:rPr>
            </w:pPr>
          </w:p>
        </w:tc>
      </w:tr>
      <w:tr w:rsidR="00692511" w:rsidRPr="00692511" w:rsidTr="00692511">
        <w:trPr>
          <w:trHeight w:val="195"/>
          <w:jc w:val="center"/>
        </w:trPr>
        <w:tc>
          <w:tcPr>
            <w:tcW w:w="4158" w:type="dxa"/>
            <w:tcBorders>
              <w:top w:val="nil"/>
              <w:left w:val="nil"/>
              <w:bottom w:val="nil"/>
              <w:right w:val="nil"/>
            </w:tcBorders>
            <w:shd w:val="clear" w:color="auto" w:fill="auto"/>
            <w:noWrap/>
            <w:vAlign w:val="bottom"/>
            <w:hideMark/>
          </w:tcPr>
          <w:p w:rsidR="00692511" w:rsidRPr="00692511" w:rsidRDefault="00692511" w:rsidP="00692511">
            <w:pPr>
              <w:jc w:val="right"/>
              <w:rPr>
                <w:rFonts w:ascii="Arial" w:eastAsia="Times New Roman" w:hAnsi="Arial" w:cs="Arial"/>
                <w:b/>
                <w:bCs/>
                <w:sz w:val="18"/>
                <w:szCs w:val="18"/>
              </w:rPr>
            </w:pPr>
            <w:r w:rsidRPr="00692511">
              <w:rPr>
                <w:rFonts w:ascii="Arial" w:eastAsia="Times New Roman" w:hAnsi="Arial" w:cs="Arial"/>
                <w:b/>
                <w:bCs/>
                <w:sz w:val="18"/>
                <w:szCs w:val="18"/>
              </w:rPr>
              <w:t xml:space="preserve"> Total Costs: </w:t>
            </w:r>
          </w:p>
        </w:tc>
        <w:tc>
          <w:tcPr>
            <w:tcW w:w="984" w:type="dxa"/>
            <w:tcBorders>
              <w:top w:val="single" w:sz="4" w:space="0" w:color="auto"/>
              <w:left w:val="nil"/>
              <w:bottom w:val="double" w:sz="6" w:space="0" w:color="auto"/>
              <w:right w:val="nil"/>
            </w:tcBorders>
            <w:shd w:val="clear" w:color="auto" w:fill="auto"/>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xml:space="preserve">      27,608 </w:t>
            </w:r>
          </w:p>
        </w:tc>
        <w:tc>
          <w:tcPr>
            <w:tcW w:w="972" w:type="dxa"/>
            <w:tcBorders>
              <w:top w:val="single" w:sz="4" w:space="0" w:color="auto"/>
              <w:left w:val="nil"/>
              <w:bottom w:val="double" w:sz="6" w:space="0" w:color="auto"/>
              <w:right w:val="nil"/>
            </w:tcBorders>
            <w:shd w:val="clear" w:color="auto" w:fill="auto"/>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xml:space="preserve">              -   </w:t>
            </w:r>
          </w:p>
        </w:tc>
        <w:tc>
          <w:tcPr>
            <w:tcW w:w="972" w:type="dxa"/>
            <w:tcBorders>
              <w:top w:val="single" w:sz="4" w:space="0" w:color="auto"/>
              <w:left w:val="nil"/>
              <w:bottom w:val="double" w:sz="6" w:space="0" w:color="auto"/>
              <w:right w:val="nil"/>
            </w:tcBorders>
            <w:shd w:val="clear" w:color="auto" w:fill="auto"/>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xml:space="preserve">              -   </w:t>
            </w:r>
          </w:p>
        </w:tc>
        <w:tc>
          <w:tcPr>
            <w:tcW w:w="972" w:type="dxa"/>
            <w:tcBorders>
              <w:top w:val="single" w:sz="4" w:space="0" w:color="auto"/>
              <w:left w:val="nil"/>
              <w:bottom w:val="double" w:sz="6" w:space="0" w:color="auto"/>
              <w:right w:val="nil"/>
            </w:tcBorders>
            <w:shd w:val="clear" w:color="auto" w:fill="auto"/>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xml:space="preserve">              -   </w:t>
            </w:r>
          </w:p>
        </w:tc>
        <w:tc>
          <w:tcPr>
            <w:tcW w:w="972" w:type="dxa"/>
            <w:tcBorders>
              <w:top w:val="single" w:sz="4" w:space="0" w:color="auto"/>
              <w:left w:val="nil"/>
              <w:bottom w:val="double" w:sz="6" w:space="0" w:color="auto"/>
              <w:right w:val="nil"/>
            </w:tcBorders>
            <w:shd w:val="clear" w:color="auto" w:fill="auto"/>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xml:space="preserve">              -   </w:t>
            </w:r>
          </w:p>
        </w:tc>
        <w:tc>
          <w:tcPr>
            <w:tcW w:w="972" w:type="dxa"/>
            <w:tcBorders>
              <w:top w:val="single" w:sz="4" w:space="0" w:color="auto"/>
              <w:left w:val="nil"/>
              <w:bottom w:val="double" w:sz="6" w:space="0" w:color="auto"/>
              <w:right w:val="nil"/>
            </w:tcBorders>
            <w:shd w:val="clear" w:color="auto" w:fill="auto"/>
            <w:noWrap/>
            <w:vAlign w:val="bottom"/>
            <w:hideMark/>
          </w:tcPr>
          <w:p w:rsidR="00692511" w:rsidRPr="00692511" w:rsidRDefault="00692511" w:rsidP="00692511">
            <w:pPr>
              <w:rPr>
                <w:rFonts w:ascii="Arial" w:eastAsia="Times New Roman" w:hAnsi="Arial" w:cs="Arial"/>
                <w:sz w:val="18"/>
                <w:szCs w:val="18"/>
              </w:rPr>
            </w:pPr>
            <w:r w:rsidRPr="00692511">
              <w:rPr>
                <w:rFonts w:ascii="Arial" w:eastAsia="Times New Roman" w:hAnsi="Arial" w:cs="Arial"/>
                <w:sz w:val="18"/>
                <w:szCs w:val="18"/>
              </w:rPr>
              <w:t xml:space="preserve">              -   </w:t>
            </w:r>
          </w:p>
        </w:tc>
        <w:tc>
          <w:tcPr>
            <w:tcW w:w="972" w:type="dxa"/>
            <w:tcBorders>
              <w:top w:val="nil"/>
              <w:left w:val="nil"/>
              <w:bottom w:val="nil"/>
              <w:right w:val="nil"/>
            </w:tcBorders>
            <w:shd w:val="clear" w:color="auto" w:fill="auto"/>
            <w:noWrap/>
            <w:vAlign w:val="bottom"/>
            <w:hideMark/>
          </w:tcPr>
          <w:p w:rsidR="00692511" w:rsidRPr="00692511" w:rsidRDefault="00692511" w:rsidP="00692511">
            <w:pPr>
              <w:rPr>
                <w:rFonts w:ascii="Arial" w:eastAsia="Times New Roman" w:hAnsi="Arial" w:cs="Arial"/>
                <w:sz w:val="20"/>
                <w:szCs w:val="20"/>
              </w:rPr>
            </w:pPr>
            <w:r w:rsidRPr="00692511">
              <w:rPr>
                <w:rFonts w:ascii="Arial" w:eastAsia="Times New Roman" w:hAnsi="Arial" w:cs="Arial"/>
                <w:sz w:val="20"/>
                <w:szCs w:val="20"/>
              </w:rPr>
              <w:t xml:space="preserve">   27,608 </w:t>
            </w:r>
          </w:p>
        </w:tc>
      </w:tr>
    </w:tbl>
    <w:p w:rsidR="0028592E" w:rsidRPr="000A22F1" w:rsidRDefault="0028592E" w:rsidP="00692511">
      <w:pPr>
        <w:rPr>
          <w:rStyle w:val="IntenseReference"/>
          <w:rFonts w:asciiTheme="majorHAnsi" w:hAnsiTheme="majorHAnsi" w:cstheme="majorHAnsi"/>
          <w:b w:val="0"/>
          <w:color w:val="auto"/>
          <w:sz w:val="20"/>
          <w:u w:val="none"/>
        </w:rPr>
      </w:pPr>
    </w:p>
    <w:p w:rsidR="005A1FFE" w:rsidRPr="000A22F1" w:rsidRDefault="0028592E" w:rsidP="0028592E">
      <w:pPr>
        <w:rPr>
          <w:rFonts w:asciiTheme="majorHAnsi" w:hAnsiTheme="majorHAnsi" w:cstheme="majorHAnsi"/>
        </w:rPr>
      </w:pPr>
      <w:r w:rsidRPr="000A22F1">
        <w:rPr>
          <w:rFonts w:asciiTheme="majorHAnsi" w:hAnsiTheme="majorHAnsi" w:cstheme="majorHAnsi"/>
        </w:rPr>
        <w:t xml:space="preserve">Each plan will have the same benefit return, which indicates that the faster this project </w:t>
      </w:r>
      <w:r w:rsidR="0078736D" w:rsidRPr="000A22F1">
        <w:rPr>
          <w:rFonts w:asciiTheme="majorHAnsi" w:hAnsiTheme="majorHAnsi" w:cstheme="majorHAnsi"/>
        </w:rPr>
        <w:t>rolls</w:t>
      </w:r>
      <w:r w:rsidRPr="000A22F1">
        <w:rPr>
          <w:rFonts w:asciiTheme="majorHAnsi" w:hAnsiTheme="majorHAnsi" w:cstheme="majorHAnsi"/>
        </w:rPr>
        <w:t xml:space="preserve">, the sooner the </w:t>
      </w:r>
      <w:r w:rsidR="0078736D" w:rsidRPr="000A22F1">
        <w:rPr>
          <w:rFonts w:asciiTheme="majorHAnsi" w:hAnsiTheme="majorHAnsi" w:cstheme="majorHAnsi"/>
        </w:rPr>
        <w:t>investment</w:t>
      </w:r>
      <w:r w:rsidRPr="000A22F1">
        <w:rPr>
          <w:rFonts w:asciiTheme="majorHAnsi" w:hAnsiTheme="majorHAnsi" w:cstheme="majorHAnsi"/>
        </w:rPr>
        <w:t xml:space="preserve"> will provide </w:t>
      </w:r>
      <w:r w:rsidR="0078736D" w:rsidRPr="000A22F1">
        <w:rPr>
          <w:rFonts w:asciiTheme="majorHAnsi" w:hAnsiTheme="majorHAnsi" w:cstheme="majorHAnsi"/>
        </w:rPr>
        <w:t>returns.</w:t>
      </w:r>
    </w:p>
    <w:p w:rsidR="0028592E" w:rsidRPr="000A22F1" w:rsidRDefault="0028592E" w:rsidP="0028592E">
      <w:pPr>
        <w:rPr>
          <w:rFonts w:asciiTheme="majorHAnsi" w:hAnsiTheme="majorHAnsi" w:cstheme="majorHAnsi"/>
        </w:rPr>
      </w:pPr>
    </w:p>
    <w:tbl>
      <w:tblPr>
        <w:tblW w:w="10840" w:type="dxa"/>
        <w:tblInd w:w="96" w:type="dxa"/>
        <w:tblLook w:val="04A0" w:firstRow="1" w:lastRow="0" w:firstColumn="1" w:lastColumn="0" w:noHBand="0" w:noVBand="1"/>
      </w:tblPr>
      <w:tblGrid>
        <w:gridCol w:w="4120"/>
        <w:gridCol w:w="960"/>
        <w:gridCol w:w="960"/>
        <w:gridCol w:w="960"/>
        <w:gridCol w:w="960"/>
        <w:gridCol w:w="960"/>
        <w:gridCol w:w="960"/>
        <w:gridCol w:w="960"/>
      </w:tblGrid>
      <w:tr w:rsidR="0028592E" w:rsidRPr="0028592E" w:rsidTr="0028592E">
        <w:trPr>
          <w:trHeight w:val="276"/>
        </w:trPr>
        <w:tc>
          <w:tcPr>
            <w:tcW w:w="4120" w:type="dxa"/>
            <w:tcBorders>
              <w:top w:val="nil"/>
              <w:left w:val="nil"/>
              <w:bottom w:val="nil"/>
              <w:right w:val="nil"/>
            </w:tcBorders>
            <w:shd w:val="clear" w:color="auto" w:fill="auto"/>
            <w:noWrap/>
            <w:vAlign w:val="bottom"/>
            <w:hideMark/>
          </w:tcPr>
          <w:p w:rsidR="0028592E" w:rsidRPr="0028592E" w:rsidRDefault="0028592E" w:rsidP="0028592E">
            <w:pPr>
              <w:jc w:val="center"/>
              <w:rPr>
                <w:rFonts w:asciiTheme="majorHAnsi" w:eastAsia="Times New Roman" w:hAnsiTheme="majorHAnsi" w:cstheme="majorHAnsi"/>
                <w:b/>
                <w:bCs/>
                <w:sz w:val="18"/>
                <w:szCs w:val="18"/>
              </w:rPr>
            </w:pPr>
            <w:r w:rsidRPr="0028592E">
              <w:rPr>
                <w:rFonts w:asciiTheme="majorHAnsi" w:eastAsia="Times New Roman" w:hAnsiTheme="majorHAnsi" w:cstheme="majorHAnsi"/>
                <w:b/>
                <w:bCs/>
                <w:sz w:val="18"/>
                <w:szCs w:val="18"/>
              </w:rPr>
              <w:t xml:space="preserve">Benefits: </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b/>
                <w:sz w:val="18"/>
                <w:szCs w:val="18"/>
              </w:rPr>
            </w:pPr>
            <w:r w:rsidRPr="000A22F1">
              <w:rPr>
                <w:rFonts w:asciiTheme="majorHAnsi" w:eastAsia="Times New Roman" w:hAnsiTheme="majorHAnsi" w:cstheme="majorHAnsi"/>
                <w:b/>
                <w:sz w:val="18"/>
                <w:szCs w:val="18"/>
              </w:rPr>
              <w:t>Year 0</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b/>
                <w:sz w:val="18"/>
                <w:szCs w:val="18"/>
              </w:rPr>
            </w:pPr>
            <w:r w:rsidRPr="000A22F1">
              <w:rPr>
                <w:rFonts w:asciiTheme="majorHAnsi" w:eastAsia="Times New Roman" w:hAnsiTheme="majorHAnsi" w:cstheme="majorHAnsi"/>
                <w:b/>
                <w:sz w:val="18"/>
                <w:szCs w:val="18"/>
              </w:rPr>
              <w:t>Year 1</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b/>
                <w:sz w:val="18"/>
                <w:szCs w:val="18"/>
              </w:rPr>
            </w:pPr>
            <w:r w:rsidRPr="000A22F1">
              <w:rPr>
                <w:rFonts w:asciiTheme="majorHAnsi" w:eastAsia="Times New Roman" w:hAnsiTheme="majorHAnsi" w:cstheme="majorHAnsi"/>
                <w:b/>
                <w:sz w:val="18"/>
                <w:szCs w:val="18"/>
              </w:rPr>
              <w:t>Year 2</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b/>
                <w:sz w:val="18"/>
                <w:szCs w:val="18"/>
              </w:rPr>
            </w:pPr>
            <w:r w:rsidRPr="000A22F1">
              <w:rPr>
                <w:rFonts w:asciiTheme="majorHAnsi" w:eastAsia="Times New Roman" w:hAnsiTheme="majorHAnsi" w:cstheme="majorHAnsi"/>
                <w:b/>
                <w:sz w:val="18"/>
                <w:szCs w:val="18"/>
              </w:rPr>
              <w:t>Year 3</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b/>
                <w:sz w:val="18"/>
                <w:szCs w:val="18"/>
              </w:rPr>
            </w:pPr>
            <w:r w:rsidRPr="000A22F1">
              <w:rPr>
                <w:rFonts w:asciiTheme="majorHAnsi" w:eastAsia="Times New Roman" w:hAnsiTheme="majorHAnsi" w:cstheme="majorHAnsi"/>
                <w:b/>
                <w:sz w:val="18"/>
                <w:szCs w:val="18"/>
              </w:rPr>
              <w:t>Year 4</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b/>
                <w:sz w:val="18"/>
                <w:szCs w:val="18"/>
              </w:rPr>
            </w:pPr>
            <w:r w:rsidRPr="000A22F1">
              <w:rPr>
                <w:rFonts w:asciiTheme="majorHAnsi" w:eastAsia="Times New Roman" w:hAnsiTheme="majorHAnsi" w:cstheme="majorHAnsi"/>
                <w:b/>
                <w:sz w:val="18"/>
                <w:szCs w:val="18"/>
              </w:rPr>
              <w:t>Year 5</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20"/>
                <w:szCs w:val="20"/>
              </w:rPr>
            </w:pPr>
          </w:p>
        </w:tc>
      </w:tr>
      <w:tr w:rsidR="0028592E" w:rsidRPr="0028592E" w:rsidTr="0028592E">
        <w:trPr>
          <w:trHeight w:val="264"/>
        </w:trPr>
        <w:tc>
          <w:tcPr>
            <w:tcW w:w="412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Eliminate overtime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1,989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1,989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1,989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1,989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1,989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1,989 </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20"/>
                <w:szCs w:val="20"/>
              </w:rPr>
            </w:pPr>
          </w:p>
        </w:tc>
      </w:tr>
      <w:tr w:rsidR="0028592E" w:rsidRPr="0028592E" w:rsidTr="0028592E">
        <w:trPr>
          <w:trHeight w:val="264"/>
        </w:trPr>
        <w:tc>
          <w:tcPr>
            <w:tcW w:w="412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Eliminate additional position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8,840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17,680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17,680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17,680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17,680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17,680 </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20"/>
                <w:szCs w:val="20"/>
              </w:rPr>
            </w:pPr>
          </w:p>
        </w:tc>
      </w:tr>
      <w:tr w:rsidR="0028592E" w:rsidRPr="0028592E" w:rsidTr="0028592E">
        <w:trPr>
          <w:trHeight w:val="264"/>
        </w:trPr>
        <w:tc>
          <w:tcPr>
            <w:tcW w:w="412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Eliminate daily errors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2,210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2,210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2,210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2,210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2,210 </w:t>
            </w:r>
          </w:p>
        </w:tc>
        <w:tc>
          <w:tcPr>
            <w:tcW w:w="960" w:type="dxa"/>
            <w:tcBorders>
              <w:top w:val="nil"/>
              <w:left w:val="nil"/>
              <w:bottom w:val="nil"/>
              <w:right w:val="nil"/>
            </w:tcBorders>
            <w:shd w:val="clear" w:color="000000" w:fill="FFFF99"/>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2,210 </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20"/>
                <w:szCs w:val="20"/>
              </w:rPr>
            </w:pPr>
          </w:p>
        </w:tc>
      </w:tr>
      <w:tr w:rsidR="0028592E" w:rsidRPr="0028592E" w:rsidTr="0028592E">
        <w:trPr>
          <w:trHeight w:val="276"/>
        </w:trPr>
        <w:tc>
          <w:tcPr>
            <w:tcW w:w="4120" w:type="dxa"/>
            <w:tcBorders>
              <w:top w:val="nil"/>
              <w:left w:val="nil"/>
              <w:bottom w:val="nil"/>
              <w:right w:val="nil"/>
            </w:tcBorders>
            <w:shd w:val="clear" w:color="auto" w:fill="auto"/>
            <w:noWrap/>
            <w:vAlign w:val="bottom"/>
            <w:hideMark/>
          </w:tcPr>
          <w:p w:rsidR="0028592E" w:rsidRPr="0028592E" w:rsidRDefault="0028592E" w:rsidP="0028592E">
            <w:pPr>
              <w:jc w:val="right"/>
              <w:rPr>
                <w:rFonts w:asciiTheme="majorHAnsi" w:eastAsia="Times New Roman" w:hAnsiTheme="majorHAnsi" w:cstheme="majorHAnsi"/>
                <w:b/>
                <w:bCs/>
                <w:sz w:val="18"/>
                <w:szCs w:val="18"/>
              </w:rPr>
            </w:pPr>
            <w:r w:rsidRPr="0028592E">
              <w:rPr>
                <w:rFonts w:asciiTheme="majorHAnsi" w:eastAsia="Times New Roman" w:hAnsiTheme="majorHAnsi" w:cstheme="majorHAnsi"/>
                <w:b/>
                <w:bCs/>
                <w:sz w:val="18"/>
                <w:szCs w:val="18"/>
              </w:rPr>
              <w:t>Total Benefits:</w:t>
            </w:r>
          </w:p>
        </w:tc>
        <w:tc>
          <w:tcPr>
            <w:tcW w:w="960" w:type="dxa"/>
            <w:tcBorders>
              <w:top w:val="single" w:sz="4" w:space="0" w:color="auto"/>
              <w:left w:val="nil"/>
              <w:bottom w:val="double" w:sz="6" w:space="0" w:color="auto"/>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13,039 </w:t>
            </w:r>
          </w:p>
        </w:tc>
        <w:tc>
          <w:tcPr>
            <w:tcW w:w="960" w:type="dxa"/>
            <w:tcBorders>
              <w:top w:val="single" w:sz="4" w:space="0" w:color="auto"/>
              <w:left w:val="nil"/>
              <w:bottom w:val="double" w:sz="6" w:space="0" w:color="auto"/>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21,879 </w:t>
            </w:r>
          </w:p>
        </w:tc>
        <w:tc>
          <w:tcPr>
            <w:tcW w:w="960" w:type="dxa"/>
            <w:tcBorders>
              <w:top w:val="single" w:sz="4" w:space="0" w:color="auto"/>
              <w:left w:val="nil"/>
              <w:bottom w:val="double" w:sz="6" w:space="0" w:color="auto"/>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21,879 </w:t>
            </w:r>
          </w:p>
        </w:tc>
        <w:tc>
          <w:tcPr>
            <w:tcW w:w="960" w:type="dxa"/>
            <w:tcBorders>
              <w:top w:val="single" w:sz="4" w:space="0" w:color="auto"/>
              <w:left w:val="nil"/>
              <w:bottom w:val="double" w:sz="6" w:space="0" w:color="auto"/>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21,879 </w:t>
            </w:r>
          </w:p>
        </w:tc>
        <w:tc>
          <w:tcPr>
            <w:tcW w:w="960" w:type="dxa"/>
            <w:tcBorders>
              <w:top w:val="single" w:sz="4" w:space="0" w:color="auto"/>
              <w:left w:val="nil"/>
              <w:bottom w:val="double" w:sz="6" w:space="0" w:color="auto"/>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21,879 </w:t>
            </w:r>
          </w:p>
        </w:tc>
        <w:tc>
          <w:tcPr>
            <w:tcW w:w="960" w:type="dxa"/>
            <w:tcBorders>
              <w:top w:val="single" w:sz="4" w:space="0" w:color="auto"/>
              <w:left w:val="nil"/>
              <w:bottom w:val="double" w:sz="6" w:space="0" w:color="auto"/>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18"/>
                <w:szCs w:val="18"/>
              </w:rPr>
            </w:pPr>
            <w:r w:rsidRPr="0028592E">
              <w:rPr>
                <w:rFonts w:asciiTheme="majorHAnsi" w:eastAsia="Times New Roman" w:hAnsiTheme="majorHAnsi" w:cstheme="majorHAnsi"/>
                <w:sz w:val="18"/>
                <w:szCs w:val="18"/>
              </w:rPr>
              <w:t xml:space="preserve">      21,879 </w:t>
            </w:r>
          </w:p>
        </w:tc>
        <w:tc>
          <w:tcPr>
            <w:tcW w:w="960" w:type="dxa"/>
            <w:tcBorders>
              <w:top w:val="nil"/>
              <w:left w:val="nil"/>
              <w:bottom w:val="nil"/>
              <w:right w:val="nil"/>
            </w:tcBorders>
            <w:shd w:val="clear" w:color="auto" w:fill="auto"/>
            <w:noWrap/>
            <w:vAlign w:val="bottom"/>
            <w:hideMark/>
          </w:tcPr>
          <w:p w:rsidR="0028592E" w:rsidRPr="0028592E" w:rsidRDefault="0028592E" w:rsidP="0028592E">
            <w:pPr>
              <w:rPr>
                <w:rFonts w:asciiTheme="majorHAnsi" w:eastAsia="Times New Roman" w:hAnsiTheme="majorHAnsi" w:cstheme="majorHAnsi"/>
                <w:sz w:val="20"/>
                <w:szCs w:val="20"/>
              </w:rPr>
            </w:pPr>
            <w:r w:rsidRPr="0028592E">
              <w:rPr>
                <w:rFonts w:asciiTheme="majorHAnsi" w:eastAsia="Times New Roman" w:hAnsiTheme="majorHAnsi" w:cstheme="majorHAnsi"/>
                <w:sz w:val="20"/>
                <w:szCs w:val="20"/>
              </w:rPr>
              <w:t xml:space="preserve"> 122,434 </w:t>
            </w:r>
          </w:p>
        </w:tc>
      </w:tr>
    </w:tbl>
    <w:p w:rsidR="0028592E" w:rsidRPr="000A22F1" w:rsidRDefault="0028592E" w:rsidP="0028592E">
      <w:pPr>
        <w:rPr>
          <w:rFonts w:asciiTheme="majorHAnsi" w:hAnsiTheme="majorHAnsi" w:cstheme="majorHAnsi"/>
        </w:rPr>
      </w:pPr>
    </w:p>
    <w:p w:rsidR="0078736D" w:rsidRPr="000A22F1" w:rsidRDefault="0078736D" w:rsidP="0028592E">
      <w:pPr>
        <w:rPr>
          <w:rFonts w:asciiTheme="majorHAnsi" w:hAnsiTheme="majorHAnsi" w:cstheme="majorHAnsi"/>
        </w:rPr>
      </w:pPr>
      <w:r w:rsidRPr="000A22F1">
        <w:rPr>
          <w:rFonts w:asciiTheme="majorHAnsi" w:hAnsiTheme="majorHAnsi" w:cstheme="majorHAnsi"/>
        </w:rPr>
        <w:t xml:space="preserve">The return on </w:t>
      </w:r>
      <w:r w:rsidR="007D2963" w:rsidRPr="000A22F1">
        <w:rPr>
          <w:rFonts w:asciiTheme="majorHAnsi" w:hAnsiTheme="majorHAnsi" w:cstheme="majorHAnsi"/>
        </w:rPr>
        <w:t>investment</w:t>
      </w:r>
      <w:bookmarkStart w:id="0" w:name="_GoBack"/>
      <w:bookmarkEnd w:id="0"/>
      <w:r w:rsidRPr="000A22F1">
        <w:rPr>
          <w:rFonts w:asciiTheme="majorHAnsi" w:hAnsiTheme="majorHAnsi" w:cstheme="majorHAnsi"/>
        </w:rPr>
        <w:t xml:space="preserve"> can be computed from the previous figures.  Each plan shows a similar payback trend</w:t>
      </w:r>
      <w:r w:rsidR="000A22F1">
        <w:rPr>
          <w:rFonts w:asciiTheme="majorHAnsi" w:hAnsiTheme="majorHAnsi" w:cstheme="majorHAnsi"/>
        </w:rPr>
        <w:t>.  Due to the higher initial cost, t</w:t>
      </w:r>
      <w:r w:rsidRPr="000A22F1">
        <w:rPr>
          <w:rFonts w:asciiTheme="majorHAnsi" w:hAnsiTheme="majorHAnsi" w:cstheme="majorHAnsi"/>
        </w:rPr>
        <w:t xml:space="preserve">he in-house system would start payback </w:t>
      </w:r>
      <w:r w:rsidR="00346456">
        <w:rPr>
          <w:rFonts w:asciiTheme="majorHAnsi" w:hAnsiTheme="majorHAnsi" w:cstheme="majorHAnsi"/>
        </w:rPr>
        <w:t xml:space="preserve">in 15 </w:t>
      </w:r>
      <w:r w:rsidRPr="000A22F1">
        <w:rPr>
          <w:rFonts w:asciiTheme="majorHAnsi" w:hAnsiTheme="majorHAnsi" w:cstheme="majorHAnsi"/>
        </w:rPr>
        <w:t>months while the vertical system would achieve payback in about 10 months</w:t>
      </w:r>
      <w:r w:rsidR="00A27510" w:rsidRPr="000A22F1">
        <w:rPr>
          <w:rFonts w:asciiTheme="majorHAnsi" w:hAnsiTheme="majorHAnsi" w:cstheme="majorHAnsi"/>
        </w:rPr>
        <w:t>, with slightly higher cumulative costs.</w:t>
      </w:r>
    </w:p>
    <w:p w:rsidR="0078736D" w:rsidRPr="000A22F1" w:rsidRDefault="0078736D" w:rsidP="0028592E">
      <w:pPr>
        <w:rPr>
          <w:rFonts w:asciiTheme="majorHAnsi" w:hAnsiTheme="majorHAnsi" w:cstheme="majorHAnsi"/>
        </w:rPr>
      </w:pPr>
    </w:p>
    <w:p w:rsidR="009171F7" w:rsidRDefault="0078736D" w:rsidP="0028592E">
      <w:pPr>
        <w:rPr>
          <w:rFonts w:asciiTheme="majorHAnsi" w:hAnsiTheme="majorHAnsi" w:cstheme="majorHAnsi"/>
          <w:b/>
          <w:color w:val="00B0F0"/>
          <w:u w:val="single"/>
        </w:rPr>
      </w:pPr>
      <w:r w:rsidRPr="000A22F1">
        <w:rPr>
          <w:rFonts w:asciiTheme="majorHAnsi" w:hAnsiTheme="majorHAnsi" w:cstheme="majorHAnsi"/>
          <w:b/>
          <w:color w:val="00B0F0"/>
          <w:u w:val="single"/>
        </w:rPr>
        <w:t>In-house plan</w:t>
      </w:r>
    </w:p>
    <w:p w:rsidR="00346456" w:rsidRDefault="00346456" w:rsidP="0028592E">
      <w:pPr>
        <w:rPr>
          <w:rFonts w:asciiTheme="majorHAnsi" w:hAnsiTheme="majorHAnsi" w:cstheme="majorHAnsi"/>
          <w:b/>
          <w:color w:val="00B0F0"/>
          <w:u w:val="single"/>
        </w:rPr>
      </w:pPr>
    </w:p>
    <w:p w:rsidR="00346456" w:rsidRDefault="00346456" w:rsidP="0028592E">
      <w:pPr>
        <w:rPr>
          <w:rFonts w:asciiTheme="majorHAnsi" w:hAnsiTheme="majorHAnsi" w:cstheme="majorHAnsi"/>
          <w:b/>
          <w:color w:val="00B0F0"/>
          <w:u w:val="single"/>
        </w:rPr>
      </w:pPr>
    </w:p>
    <w:p w:rsidR="00346456" w:rsidRDefault="00346456" w:rsidP="0028592E">
      <w:pPr>
        <w:rPr>
          <w:rFonts w:asciiTheme="majorHAnsi" w:hAnsiTheme="majorHAnsi" w:cstheme="majorHAnsi"/>
          <w:b/>
          <w:color w:val="00B0F0"/>
          <w:u w:val="single"/>
        </w:rPr>
      </w:pPr>
      <w:r w:rsidRPr="00346456">
        <w:rPr>
          <w:rFonts w:asciiTheme="majorHAnsi" w:hAnsiTheme="majorHAnsi" w:cstheme="majorHAnsi"/>
          <w:b/>
          <w:noProof/>
          <w:color w:val="00B0F0"/>
          <w:u w:val="single"/>
        </w:rPr>
        <mc:AlternateContent>
          <mc:Choice Requires="wpg">
            <w:drawing>
              <wp:inline distT="0" distB="0" distL="0" distR="0">
                <wp:extent cx="5947410" cy="2042160"/>
                <wp:effectExtent l="0" t="0" r="53340" b="491490"/>
                <wp:docPr id="1" name="Group 1"/>
                <wp:cNvGraphicFramePr/>
                <a:graphic xmlns:a="http://schemas.openxmlformats.org/drawingml/2006/main">
                  <a:graphicData uri="http://schemas.microsoft.com/office/word/2010/wordprocessingGroup">
                    <wpg:wgp>
                      <wpg:cNvGrpSpPr/>
                      <wpg:grpSpPr>
                        <a:xfrm>
                          <a:off x="0" y="0"/>
                          <a:ext cx="5981700" cy="2522220"/>
                          <a:chOff x="0" y="0"/>
                          <a:chExt cx="5981700" cy="2522220"/>
                        </a:xfrm>
                      </wpg:grpSpPr>
                      <wpg:graphicFrame>
                        <wpg:cNvPr id="4" name="Chart 4"/>
                        <wpg:cNvFrPr>
                          <a:graphicFrameLocks/>
                        </wpg:cNvFrPr>
                        <wpg:xfrm>
                          <a:off x="0" y="0"/>
                          <a:ext cx="5981700" cy="2522220"/>
                        </wpg:xfrm>
                        <a:graphic>
                          <a:graphicData uri="http://schemas.openxmlformats.org/drawingml/2006/chart">
                            <c:chart xmlns:c="http://schemas.openxmlformats.org/drawingml/2006/chart" xmlns:r="http://schemas.openxmlformats.org/officeDocument/2006/relationships" r:id="rId7"/>
                          </a:graphicData>
                        </a:graphic>
                      </wpg:graphicFrame>
                      <wps:wsp>
                        <wps:cNvPr id="6" name="Line 1"/>
                        <wps:cNvSpPr>
                          <a:spLocks noChangeShapeType="1"/>
                        </wps:cNvSpPr>
                        <wps:spPr bwMode="auto">
                          <a:xfrm flipH="1">
                            <a:off x="2286000" y="609600"/>
                            <a:ext cx="0" cy="723900"/>
                          </a:xfrm>
                          <a:prstGeom prst="line">
                            <a:avLst/>
                          </a:prstGeom>
                          <a:noFill/>
                          <a:ln w="9525">
                            <a:solidFill>
                              <a:srgbClr val="000000"/>
                            </a:solidFill>
                            <a:round/>
                            <a:headEnd/>
                            <a:tailEnd type="triangle" w="med" len="med"/>
                          </a:ln>
                        </wps:spPr>
                        <wps:bodyPr/>
                      </wps:wsp>
                      <wps:wsp>
                        <wps:cNvPr id="7" name="Text Box 2"/>
                        <wps:cNvSpPr txBox="1">
                          <a:spLocks noChangeArrowheads="1"/>
                        </wps:cNvSpPr>
                        <wps:spPr bwMode="auto">
                          <a:xfrm>
                            <a:off x="1811655" y="403860"/>
                            <a:ext cx="2089792" cy="224790"/>
                          </a:xfrm>
                          <a:prstGeom prst="rect">
                            <a:avLst/>
                          </a:prstGeom>
                          <a:noFill/>
                          <a:ln w="9525">
                            <a:noFill/>
                            <a:miter lim="800000"/>
                            <a:headEnd/>
                            <a:tailEnd/>
                          </a:ln>
                        </wps:spPr>
                        <wps:txbx>
                          <w:txbxContent>
                            <w:p w:rsidR="007D2963" w:rsidRDefault="007D2963" w:rsidP="007D2963">
                              <w:pPr>
                                <w:pStyle w:val="NormalWeb"/>
                                <w:spacing w:before="0" w:beforeAutospacing="0" w:after="0" w:afterAutospacing="0"/>
                              </w:pPr>
                              <w:r>
                                <w:rPr>
                                  <w:rFonts w:ascii="Arial" w:hAnsi="Arial" w:cs="Arial"/>
                                  <w:color w:val="000000"/>
                                  <w:sz w:val="20"/>
                                  <w:szCs w:val="20"/>
                                </w:rPr>
                                <w:t>Payback: about 3 months into year 1</w:t>
                              </w:r>
                            </w:p>
                          </w:txbxContent>
                        </wps:txbx>
                        <wps:bodyPr wrap="square" lIns="27432" tIns="22860" rIns="0" bIns="0" anchor="t" upright="1"/>
                      </wps:wsp>
                    </wpg:wgp>
                  </a:graphicData>
                </a:graphic>
              </wp:inline>
            </w:drawing>
          </mc:Choice>
          <mc:Fallback>
            <w:pict>
              <v:group id="Group 1" o:spid="_x0000_s1026" style="width:468.3pt;height:160.8pt;mso-position-horizontal-relative:char;mso-position-vertical-relative:line" coordsize="59817,25222"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s1027" type="#_x0000_t75" style="position:absolute;left:-60;top:-60;width:59922;height:253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">
                  <v:imagedata r:id="rId8" o:title=""/>
                  <o:lock v:ext="edit" aspectratio="f"/>
                </v:shape>
                <v:line id="Line 1" o:spid="_x0000_s1028" style="position:absolute;flip:x;visibility:visible;mso-wrap-style:square;v-text-anchor:top" from="22860,6096" to="22860,1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V8ycQA&#10;AADaAAAADwAAAGRycy9kb3ducmV2LnhtbESPQWvCQBSE7wX/w/KE3urG0oqmriKlBU+l1VLw9si+&#10;JtHs23T31UR/fbcgeBxm5htmvuxdo44UYu3ZwHiUgSIuvK25NPC5fb2bgoqCbLHxTAZOFGG5GNzM&#10;Mbe+4w86bqRUCcIxRwOVSJtrHYuKHMaRb4mT9+2DQ0kylNoG7BLcNfo+yybaYc1pocKWnisqDptf&#10;Z2C27R79ezh8PYzrn935ZS/t+k2MuR32qydQQr1cw5f22hqYwP+VdAP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1fMnEAAAA2gAAAA8AAAAAAAAAAAAAAAAAmAIAAGRycy9k&#10;b3ducmV2LnhtbFBLBQYAAAAABAAEAPUAAACJAwAAAAA=&#10;">
                  <v:stroke endarrow="block"/>
                </v:line>
                <v:shapetype id="_x0000_t202" coordsize="21600,21600" o:spt="202" path="m,l,21600r21600,l21600,xe">
                  <v:stroke joinstyle="miter"/>
                  <v:path gradientshapeok="t" o:connecttype="rect"/>
                </v:shapetype>
                <v:shape id="Text Box 2" o:spid="_x0000_s1029" type="#_x0000_t202" style="position:absolute;left:18116;top:4038;width:2089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nJcEA&#10;AADaAAAADwAAAGRycy9kb3ducmV2LnhtbESPQYvCMBSE7wv+h/AEb2uqB92tRhFB9CCIdcHro3m2&#10;1ealNLGt/nojCHscZuYbZr7sTCkaql1hWcFoGIEgTq0uOFPwd9p8/4BwHlljaZkUPMjBctH7mmOs&#10;bctHahKfiQBhF6OC3PsqltKlORl0Q1sRB+9ia4M+yDqTusY2wE0px1E0kQYLDgs5VrTOKb0ld6PA&#10;to3b/p6N3qcJP8/Z43S8H65KDfrdagbCU+f/w5/2TiuYwvtKu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qZyXBAAAA2gAAAA8AAAAAAAAAAAAAAAAAmAIAAGRycy9kb3du&#10;cmV2LnhtbFBLBQYAAAAABAAEAPUAAACGAwAAAAA=&#10;" filled="f" stroked="f">
                  <v:textbox inset="2.16pt,1.8pt,0,0">
                    <w:txbxContent>
                      <w:p w:rsidR="007D2963" w:rsidRDefault="007D2963" w:rsidP="007D2963">
                        <w:pPr>
                          <w:pStyle w:val="NormalWeb"/>
                          <w:spacing w:before="0" w:beforeAutospacing="0" w:after="0" w:afterAutospacing="0"/>
                        </w:pPr>
                        <w:r>
                          <w:rPr>
                            <w:rFonts w:ascii="Arial" w:hAnsi="Arial" w:cs="Arial"/>
                            <w:color w:val="000000"/>
                            <w:sz w:val="20"/>
                            <w:szCs w:val="20"/>
                          </w:rPr>
                          <w:t>Payback: about 3 months into year 1</w:t>
                        </w:r>
                      </w:p>
                    </w:txbxContent>
                  </v:textbox>
                </v:shape>
                <w10:anchorlock/>
              </v:group>
            </w:pict>
          </mc:Fallback>
        </mc:AlternateContent>
      </w:r>
    </w:p>
    <w:p w:rsidR="009171F7" w:rsidRPr="000A22F1" w:rsidRDefault="009171F7" w:rsidP="0028592E">
      <w:pPr>
        <w:rPr>
          <w:rFonts w:asciiTheme="majorHAnsi" w:hAnsiTheme="majorHAnsi" w:cstheme="majorHAnsi"/>
        </w:rPr>
      </w:pPr>
    </w:p>
    <w:p w:rsidR="009171F7" w:rsidRPr="000A22F1" w:rsidRDefault="009171F7" w:rsidP="0028592E">
      <w:pPr>
        <w:rPr>
          <w:rFonts w:asciiTheme="majorHAnsi" w:hAnsiTheme="majorHAnsi" w:cstheme="majorHAnsi"/>
        </w:rPr>
      </w:pPr>
    </w:p>
    <w:p w:rsidR="009171F7" w:rsidRDefault="009171F7" w:rsidP="0028592E">
      <w:pPr>
        <w:rPr>
          <w:rFonts w:asciiTheme="majorHAnsi" w:hAnsiTheme="majorHAnsi" w:cstheme="majorHAnsi"/>
          <w:b/>
          <w:color w:val="00B0F0"/>
          <w:u w:val="single"/>
        </w:rPr>
      </w:pPr>
      <w:r w:rsidRPr="000A22F1">
        <w:rPr>
          <w:rFonts w:asciiTheme="majorHAnsi" w:hAnsiTheme="majorHAnsi" w:cstheme="majorHAnsi"/>
          <w:b/>
          <w:color w:val="00B0F0"/>
          <w:u w:val="single"/>
        </w:rPr>
        <w:t>Vertical plan</w:t>
      </w:r>
      <w:r w:rsidR="000A22F1">
        <w:rPr>
          <w:rFonts w:asciiTheme="majorHAnsi" w:hAnsiTheme="majorHAnsi" w:cstheme="majorHAnsi"/>
          <w:b/>
          <w:color w:val="00B0F0"/>
          <w:u w:val="single"/>
        </w:rPr>
        <w:t xml:space="preserve"> </w:t>
      </w:r>
    </w:p>
    <w:p w:rsidR="000A22F1" w:rsidRPr="000A22F1" w:rsidRDefault="000A22F1" w:rsidP="0028592E">
      <w:pPr>
        <w:rPr>
          <w:rFonts w:asciiTheme="majorHAnsi" w:hAnsiTheme="majorHAnsi" w:cstheme="majorHAnsi"/>
          <w:b/>
          <w:color w:val="00B0F0"/>
          <w:u w:val="single"/>
        </w:rPr>
      </w:pPr>
    </w:p>
    <w:p w:rsidR="009171F7" w:rsidRPr="000A22F1" w:rsidRDefault="009171F7" w:rsidP="0028592E">
      <w:pPr>
        <w:rPr>
          <w:rFonts w:asciiTheme="majorHAnsi" w:hAnsiTheme="majorHAnsi" w:cstheme="majorHAnsi"/>
        </w:rPr>
      </w:pPr>
      <w:r w:rsidRPr="000A22F1">
        <w:rPr>
          <w:rFonts w:asciiTheme="majorHAnsi" w:hAnsiTheme="majorHAnsi" w:cstheme="majorHAnsi"/>
          <w:noProof/>
        </w:rPr>
        <w:drawing>
          <wp:inline distT="0" distB="0" distL="0" distR="0">
            <wp:extent cx="6038850" cy="176022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61A9" w:rsidRDefault="007A61A9" w:rsidP="00692511">
      <w:pPr>
        <w:rPr>
          <w:rFonts w:asciiTheme="majorHAnsi" w:hAnsiTheme="majorHAnsi" w:cstheme="majorHAnsi"/>
        </w:rPr>
      </w:pPr>
    </w:p>
    <w:p w:rsidR="0078736D" w:rsidRPr="00692511" w:rsidRDefault="00692511" w:rsidP="00692511">
      <w:pPr>
        <w:rPr>
          <w:rStyle w:val="IntenseReference"/>
          <w:rFonts w:asciiTheme="majorHAnsi" w:hAnsiTheme="majorHAnsi" w:cstheme="majorHAnsi"/>
          <w:color w:val="00B0F0"/>
        </w:rPr>
      </w:pPr>
      <w:r w:rsidRPr="00692511">
        <w:rPr>
          <w:rFonts w:asciiTheme="majorHAnsi" w:hAnsiTheme="majorHAnsi" w:cstheme="majorHAnsi"/>
        </w:rPr>
        <w:lastRenderedPageBreak/>
        <w:t xml:space="preserve">The return on investment (ROI) for the in-house system will be slightly less, due entirely to the slightly higher initial cost, with the 5 year ROI being $94,826 or 343% on the in-house plan, and $95,466 or 354% on the vertical plan. </w:t>
      </w:r>
    </w:p>
    <w:p w:rsidR="0078736D" w:rsidRPr="000A22F1" w:rsidRDefault="0078736D" w:rsidP="00AA35E7">
      <w:pPr>
        <w:rPr>
          <w:rStyle w:val="IntenseReference"/>
          <w:rFonts w:asciiTheme="majorHAnsi" w:hAnsiTheme="majorHAnsi" w:cstheme="majorHAnsi"/>
          <w:color w:val="00B0F0"/>
        </w:rPr>
      </w:pPr>
    </w:p>
    <w:p w:rsidR="0078736D" w:rsidRPr="000A22F1" w:rsidRDefault="0078736D" w:rsidP="00AA35E7">
      <w:pPr>
        <w:rPr>
          <w:rStyle w:val="IntenseReference"/>
          <w:rFonts w:asciiTheme="majorHAnsi" w:hAnsiTheme="majorHAnsi" w:cstheme="majorHAnsi"/>
          <w:color w:val="00B0F0"/>
        </w:rPr>
      </w:pPr>
    </w:p>
    <w:p w:rsidR="005A1FFE" w:rsidRPr="000A22F1" w:rsidRDefault="000A22F1" w:rsidP="00AA35E7">
      <w:pPr>
        <w:rPr>
          <w:rStyle w:val="IntenseReference"/>
          <w:rFonts w:asciiTheme="majorHAnsi" w:hAnsiTheme="majorHAnsi" w:cstheme="majorHAnsi"/>
          <w:color w:val="00B0F0"/>
        </w:rPr>
      </w:pPr>
      <w:r w:rsidRPr="000A22F1">
        <w:rPr>
          <w:rStyle w:val="IntenseReference"/>
          <w:rFonts w:asciiTheme="majorHAnsi" w:hAnsiTheme="majorHAnsi" w:cstheme="majorHAnsi"/>
          <w:color w:val="00B0F0"/>
        </w:rPr>
        <w:t>Recommendation</w:t>
      </w:r>
    </w:p>
    <w:p w:rsidR="0078736D" w:rsidRPr="007A61A9" w:rsidRDefault="000A22F1" w:rsidP="007A61A9">
      <w:pPr>
        <w:rPr>
          <w:rFonts w:asciiTheme="majorHAnsi" w:hAnsiTheme="majorHAnsi" w:cstheme="majorHAnsi"/>
          <w:b/>
          <w:bCs/>
          <w:spacing w:val="5"/>
          <w:u w:val="single"/>
        </w:rPr>
      </w:pPr>
      <w:r w:rsidRPr="000A22F1">
        <w:rPr>
          <w:rStyle w:val="IntenseReference"/>
          <w:rFonts w:asciiTheme="majorHAnsi" w:hAnsiTheme="majorHAnsi" w:cstheme="majorHAnsi"/>
          <w:b w:val="0"/>
          <w:smallCaps w:val="0"/>
          <w:color w:val="auto"/>
          <w:u w:val="none"/>
        </w:rPr>
        <w:t xml:space="preserve">The cost of these two systems is very similar, with the vertical package being slightly cheaper.  The real shortfall of the vertical package is that it will not be entirely customizable.  This means that if a report is not exactly </w:t>
      </w:r>
      <w:r w:rsidR="00027A26">
        <w:rPr>
          <w:rStyle w:val="IntenseReference"/>
          <w:rFonts w:asciiTheme="majorHAnsi" w:hAnsiTheme="majorHAnsi" w:cstheme="majorHAnsi"/>
          <w:b w:val="0"/>
          <w:smallCaps w:val="0"/>
          <w:color w:val="auto"/>
          <w:u w:val="none"/>
        </w:rPr>
        <w:t>fulfilling its intended purpose</w:t>
      </w:r>
      <w:r w:rsidRPr="000A22F1">
        <w:rPr>
          <w:rStyle w:val="IntenseReference"/>
          <w:rFonts w:asciiTheme="majorHAnsi" w:hAnsiTheme="majorHAnsi" w:cstheme="majorHAnsi"/>
          <w:b w:val="0"/>
          <w:smallCaps w:val="0"/>
          <w:color w:val="auto"/>
          <w:u w:val="none"/>
        </w:rPr>
        <w:t>, there may not be the ability to change it, without incurring large fees from the package provider</w:t>
      </w:r>
      <w:r w:rsidR="00692511">
        <w:rPr>
          <w:rStyle w:val="IntenseReference"/>
          <w:rFonts w:asciiTheme="majorHAnsi" w:hAnsiTheme="majorHAnsi" w:cstheme="majorHAnsi"/>
          <w:b w:val="0"/>
          <w:smallCaps w:val="0"/>
          <w:color w:val="auto"/>
          <w:u w:val="none"/>
        </w:rPr>
        <w:t xml:space="preserve"> or breaking the service contract</w:t>
      </w:r>
      <w:r w:rsidRPr="000A22F1">
        <w:rPr>
          <w:rStyle w:val="IntenseReference"/>
          <w:rFonts w:asciiTheme="majorHAnsi" w:hAnsiTheme="majorHAnsi" w:cstheme="majorHAnsi"/>
          <w:b w:val="0"/>
          <w:smallCaps w:val="0"/>
          <w:color w:val="auto"/>
          <w:u w:val="none"/>
        </w:rPr>
        <w:t>.</w:t>
      </w:r>
      <w:r w:rsidR="007A61A9">
        <w:rPr>
          <w:rStyle w:val="IntenseReference"/>
          <w:rFonts w:asciiTheme="majorHAnsi" w:hAnsiTheme="majorHAnsi" w:cstheme="majorHAnsi"/>
          <w:b w:val="0"/>
          <w:smallCaps w:val="0"/>
          <w:color w:val="auto"/>
          <w:u w:val="none"/>
        </w:rPr>
        <w:t xml:space="preserve">  I</w:t>
      </w:r>
      <w:r w:rsidR="007A61A9" w:rsidRPr="007A61A9">
        <w:rPr>
          <w:rFonts w:asciiTheme="majorHAnsi" w:hAnsiTheme="majorHAnsi" w:cstheme="majorHAnsi"/>
          <w:bCs/>
          <w:spacing w:val="5"/>
        </w:rPr>
        <w:t xml:space="preserve">f modifications </w:t>
      </w:r>
      <w:r w:rsidR="003B59F0">
        <w:rPr>
          <w:rFonts w:asciiTheme="majorHAnsi" w:hAnsiTheme="majorHAnsi" w:cstheme="majorHAnsi"/>
          <w:bCs/>
          <w:spacing w:val="5"/>
        </w:rPr>
        <w:t xml:space="preserve">or service costs </w:t>
      </w:r>
      <w:r w:rsidR="007A61A9" w:rsidRPr="007A61A9">
        <w:rPr>
          <w:rFonts w:asciiTheme="majorHAnsi" w:hAnsiTheme="majorHAnsi" w:cstheme="majorHAnsi"/>
          <w:bCs/>
          <w:spacing w:val="5"/>
        </w:rPr>
        <w:t>to the vertical system are needed at any time that cost more than $640, the ROI would become tipped in the favor of the in-house system.</w:t>
      </w:r>
    </w:p>
    <w:p w:rsidR="000A22F1" w:rsidRPr="000A22F1" w:rsidRDefault="000A22F1" w:rsidP="00AA35E7">
      <w:pPr>
        <w:rPr>
          <w:rStyle w:val="IntenseReference"/>
          <w:rFonts w:asciiTheme="majorHAnsi" w:hAnsiTheme="majorHAnsi" w:cstheme="majorHAnsi"/>
          <w:b w:val="0"/>
          <w:smallCaps w:val="0"/>
          <w:color w:val="auto"/>
          <w:u w:val="none"/>
        </w:rPr>
      </w:pPr>
    </w:p>
    <w:p w:rsidR="000A22F1" w:rsidRPr="000A22F1" w:rsidRDefault="000A22F1" w:rsidP="00AA35E7">
      <w:pPr>
        <w:rPr>
          <w:rStyle w:val="IntenseReference"/>
          <w:rFonts w:asciiTheme="majorHAnsi" w:hAnsiTheme="majorHAnsi" w:cstheme="majorHAnsi"/>
          <w:b w:val="0"/>
          <w:smallCaps w:val="0"/>
          <w:color w:val="auto"/>
          <w:u w:val="none"/>
        </w:rPr>
      </w:pPr>
    </w:p>
    <w:p w:rsidR="000A22F1" w:rsidRPr="000A22F1" w:rsidRDefault="000A22F1" w:rsidP="00AA35E7">
      <w:pPr>
        <w:rPr>
          <w:rStyle w:val="IntenseReference"/>
          <w:rFonts w:asciiTheme="majorHAnsi" w:hAnsiTheme="majorHAnsi" w:cstheme="majorHAnsi"/>
          <w:b w:val="0"/>
          <w:smallCaps w:val="0"/>
          <w:color w:val="auto"/>
          <w:u w:val="none"/>
        </w:rPr>
      </w:pPr>
      <w:r w:rsidRPr="000A22F1">
        <w:rPr>
          <w:rStyle w:val="IntenseReference"/>
          <w:rFonts w:asciiTheme="majorHAnsi" w:hAnsiTheme="majorHAnsi" w:cstheme="majorHAnsi"/>
          <w:b w:val="0"/>
          <w:smallCaps w:val="0"/>
          <w:color w:val="auto"/>
          <w:u w:val="none"/>
        </w:rPr>
        <w:t>For this reason, I am recommending using in-house development for th</w:t>
      </w:r>
      <w:r w:rsidR="00027A26">
        <w:rPr>
          <w:rStyle w:val="IntenseReference"/>
          <w:rFonts w:asciiTheme="majorHAnsi" w:hAnsiTheme="majorHAnsi" w:cstheme="majorHAnsi"/>
          <w:b w:val="0"/>
          <w:smallCaps w:val="0"/>
          <w:color w:val="auto"/>
          <w:u w:val="none"/>
        </w:rPr>
        <w:t xml:space="preserve">is project.  The other distinct advantage of using in-house development is that the staff of New Century Health Clinic will be involved in every step of the process, and they will feel as if they have a stake in the success of the system.  </w:t>
      </w:r>
      <w:r w:rsidRPr="000A22F1">
        <w:rPr>
          <w:rStyle w:val="IntenseReference"/>
          <w:rFonts w:asciiTheme="majorHAnsi" w:hAnsiTheme="majorHAnsi" w:cstheme="majorHAnsi"/>
          <w:b w:val="0"/>
          <w:smallCaps w:val="0"/>
          <w:color w:val="auto"/>
          <w:u w:val="none"/>
        </w:rPr>
        <w:t xml:space="preserve"> </w:t>
      </w:r>
    </w:p>
    <w:p w:rsidR="0078736D" w:rsidRPr="000A22F1" w:rsidRDefault="0078736D" w:rsidP="00AA35E7">
      <w:pPr>
        <w:rPr>
          <w:rStyle w:val="IntenseReference"/>
          <w:rFonts w:asciiTheme="majorHAnsi" w:hAnsiTheme="majorHAnsi" w:cstheme="majorHAnsi"/>
          <w:color w:val="00B0F0"/>
        </w:rPr>
      </w:pPr>
    </w:p>
    <w:sectPr w:rsidR="0078736D" w:rsidRPr="000A22F1" w:rsidSect="00D00EA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90A" w:rsidRDefault="0056090A" w:rsidP="00AA35E7">
      <w:r>
        <w:separator/>
      </w:r>
    </w:p>
  </w:endnote>
  <w:endnote w:type="continuationSeparator" w:id="0">
    <w:p w:rsidR="0056090A" w:rsidRDefault="0056090A" w:rsidP="00AA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90A" w:rsidRDefault="0056090A" w:rsidP="00AA35E7">
      <w:r>
        <w:separator/>
      </w:r>
    </w:p>
  </w:footnote>
  <w:footnote w:type="continuationSeparator" w:id="0">
    <w:p w:rsidR="0056090A" w:rsidRDefault="0056090A" w:rsidP="00AA3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E7" w:rsidRDefault="00AA35E7">
    <w:pPr>
      <w:pStyle w:val="Header"/>
    </w:pPr>
    <w:r>
      <w:t>Laura Crichton – S4 Written Assignment</w:t>
    </w:r>
  </w:p>
  <w:p w:rsidR="00AA35E7" w:rsidRDefault="00AA35E7">
    <w:pPr>
      <w:pStyle w:val="Header"/>
    </w:pPr>
    <w:r>
      <w:t>CIS251 – Baker College 6/02/2012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E7"/>
    <w:rsid w:val="000102D0"/>
    <w:rsid w:val="00027A26"/>
    <w:rsid w:val="000357F0"/>
    <w:rsid w:val="00041910"/>
    <w:rsid w:val="00041982"/>
    <w:rsid w:val="00044F4B"/>
    <w:rsid w:val="00050DF6"/>
    <w:rsid w:val="00056865"/>
    <w:rsid w:val="000A15EB"/>
    <w:rsid w:val="000A22F1"/>
    <w:rsid w:val="000A385B"/>
    <w:rsid w:val="000A40A6"/>
    <w:rsid w:val="000B1284"/>
    <w:rsid w:val="000B2293"/>
    <w:rsid w:val="000B22C6"/>
    <w:rsid w:val="000B5537"/>
    <w:rsid w:val="000B7C87"/>
    <w:rsid w:val="000C2824"/>
    <w:rsid w:val="000C69B3"/>
    <w:rsid w:val="000E0C17"/>
    <w:rsid w:val="000E231F"/>
    <w:rsid w:val="00106898"/>
    <w:rsid w:val="00110001"/>
    <w:rsid w:val="00110EF9"/>
    <w:rsid w:val="00117FDC"/>
    <w:rsid w:val="00124CE6"/>
    <w:rsid w:val="00152E0E"/>
    <w:rsid w:val="00154A22"/>
    <w:rsid w:val="00155083"/>
    <w:rsid w:val="00160827"/>
    <w:rsid w:val="00162A2A"/>
    <w:rsid w:val="00163956"/>
    <w:rsid w:val="0017549C"/>
    <w:rsid w:val="0018482D"/>
    <w:rsid w:val="001869A6"/>
    <w:rsid w:val="00196035"/>
    <w:rsid w:val="001A24A8"/>
    <w:rsid w:val="001A5D9C"/>
    <w:rsid w:val="001B2977"/>
    <w:rsid w:val="001C0C07"/>
    <w:rsid w:val="001C1A35"/>
    <w:rsid w:val="001D3827"/>
    <w:rsid w:val="001D3CA5"/>
    <w:rsid w:val="001E1735"/>
    <w:rsid w:val="001E27C8"/>
    <w:rsid w:val="001E6519"/>
    <w:rsid w:val="001E69B1"/>
    <w:rsid w:val="001F0DFA"/>
    <w:rsid w:val="001F2CE2"/>
    <w:rsid w:val="001F5775"/>
    <w:rsid w:val="00203EFB"/>
    <w:rsid w:val="00207748"/>
    <w:rsid w:val="00207E7B"/>
    <w:rsid w:val="00214190"/>
    <w:rsid w:val="002236CD"/>
    <w:rsid w:val="002377E8"/>
    <w:rsid w:val="00257DDD"/>
    <w:rsid w:val="0026176B"/>
    <w:rsid w:val="00270298"/>
    <w:rsid w:val="00276A0C"/>
    <w:rsid w:val="0028592E"/>
    <w:rsid w:val="002861E0"/>
    <w:rsid w:val="002902C1"/>
    <w:rsid w:val="00296247"/>
    <w:rsid w:val="00297559"/>
    <w:rsid w:val="00297E11"/>
    <w:rsid w:val="002B285E"/>
    <w:rsid w:val="002B3964"/>
    <w:rsid w:val="002E032F"/>
    <w:rsid w:val="002E1467"/>
    <w:rsid w:val="002E5FFB"/>
    <w:rsid w:val="002E691D"/>
    <w:rsid w:val="002F25C2"/>
    <w:rsid w:val="002F2B3F"/>
    <w:rsid w:val="002F5FBC"/>
    <w:rsid w:val="00304CAE"/>
    <w:rsid w:val="00304F6E"/>
    <w:rsid w:val="003102A3"/>
    <w:rsid w:val="003119C4"/>
    <w:rsid w:val="003160A4"/>
    <w:rsid w:val="00317706"/>
    <w:rsid w:val="003178B2"/>
    <w:rsid w:val="00323927"/>
    <w:rsid w:val="00323A30"/>
    <w:rsid w:val="00324F21"/>
    <w:rsid w:val="0032594B"/>
    <w:rsid w:val="0033237B"/>
    <w:rsid w:val="0033270D"/>
    <w:rsid w:val="003359D1"/>
    <w:rsid w:val="003404BD"/>
    <w:rsid w:val="00346456"/>
    <w:rsid w:val="0034695B"/>
    <w:rsid w:val="00350846"/>
    <w:rsid w:val="00354090"/>
    <w:rsid w:val="00373003"/>
    <w:rsid w:val="0037587F"/>
    <w:rsid w:val="00380F81"/>
    <w:rsid w:val="003811B0"/>
    <w:rsid w:val="00382314"/>
    <w:rsid w:val="00382BB3"/>
    <w:rsid w:val="00391DF8"/>
    <w:rsid w:val="003A52D0"/>
    <w:rsid w:val="003A58F6"/>
    <w:rsid w:val="003B3FF4"/>
    <w:rsid w:val="003B59F0"/>
    <w:rsid w:val="003D2303"/>
    <w:rsid w:val="003E3CBF"/>
    <w:rsid w:val="003E4096"/>
    <w:rsid w:val="003F0D92"/>
    <w:rsid w:val="003F3D17"/>
    <w:rsid w:val="003F5A56"/>
    <w:rsid w:val="003F699F"/>
    <w:rsid w:val="003F6A44"/>
    <w:rsid w:val="003F7140"/>
    <w:rsid w:val="003F742D"/>
    <w:rsid w:val="00401A66"/>
    <w:rsid w:val="004052D2"/>
    <w:rsid w:val="00413FB7"/>
    <w:rsid w:val="0041519D"/>
    <w:rsid w:val="00422119"/>
    <w:rsid w:val="00427AE1"/>
    <w:rsid w:val="00440889"/>
    <w:rsid w:val="004432CA"/>
    <w:rsid w:val="00452DD3"/>
    <w:rsid w:val="004573C3"/>
    <w:rsid w:val="00464C85"/>
    <w:rsid w:val="00464ED7"/>
    <w:rsid w:val="004657B7"/>
    <w:rsid w:val="00471553"/>
    <w:rsid w:val="004811D4"/>
    <w:rsid w:val="00484126"/>
    <w:rsid w:val="00491291"/>
    <w:rsid w:val="00497949"/>
    <w:rsid w:val="004A2517"/>
    <w:rsid w:val="004A4994"/>
    <w:rsid w:val="004A731E"/>
    <w:rsid w:val="004B1E0E"/>
    <w:rsid w:val="004B4628"/>
    <w:rsid w:val="004B5ACD"/>
    <w:rsid w:val="004B6B99"/>
    <w:rsid w:val="004C5417"/>
    <w:rsid w:val="004D5B05"/>
    <w:rsid w:val="004F35E0"/>
    <w:rsid w:val="004F445B"/>
    <w:rsid w:val="005023B8"/>
    <w:rsid w:val="00503EC7"/>
    <w:rsid w:val="00527072"/>
    <w:rsid w:val="00552D78"/>
    <w:rsid w:val="0056090A"/>
    <w:rsid w:val="0056292D"/>
    <w:rsid w:val="005703DE"/>
    <w:rsid w:val="00571435"/>
    <w:rsid w:val="005806D8"/>
    <w:rsid w:val="0058621F"/>
    <w:rsid w:val="0059124A"/>
    <w:rsid w:val="005A1FFE"/>
    <w:rsid w:val="005B15BB"/>
    <w:rsid w:val="005B7D01"/>
    <w:rsid w:val="005C1657"/>
    <w:rsid w:val="005C1D35"/>
    <w:rsid w:val="005C5C6B"/>
    <w:rsid w:val="005D1FF4"/>
    <w:rsid w:val="005E4278"/>
    <w:rsid w:val="005F0A7D"/>
    <w:rsid w:val="005F6247"/>
    <w:rsid w:val="005F779C"/>
    <w:rsid w:val="00612BD1"/>
    <w:rsid w:val="0061324C"/>
    <w:rsid w:val="00614F04"/>
    <w:rsid w:val="00616ABA"/>
    <w:rsid w:val="00620483"/>
    <w:rsid w:val="00621576"/>
    <w:rsid w:val="00623F8D"/>
    <w:rsid w:val="0062557B"/>
    <w:rsid w:val="006257A4"/>
    <w:rsid w:val="00627275"/>
    <w:rsid w:val="00632F95"/>
    <w:rsid w:val="00642ABC"/>
    <w:rsid w:val="00642B5E"/>
    <w:rsid w:val="0064449B"/>
    <w:rsid w:val="00645A47"/>
    <w:rsid w:val="00651DB4"/>
    <w:rsid w:val="00655FF4"/>
    <w:rsid w:val="00656B99"/>
    <w:rsid w:val="006577E4"/>
    <w:rsid w:val="00660FDA"/>
    <w:rsid w:val="00665423"/>
    <w:rsid w:val="0067006D"/>
    <w:rsid w:val="00670EB9"/>
    <w:rsid w:val="00671CF6"/>
    <w:rsid w:val="00675498"/>
    <w:rsid w:val="00681FA6"/>
    <w:rsid w:val="006903C6"/>
    <w:rsid w:val="00692511"/>
    <w:rsid w:val="0069340B"/>
    <w:rsid w:val="006A54CA"/>
    <w:rsid w:val="006B187B"/>
    <w:rsid w:val="006C0ED1"/>
    <w:rsid w:val="006C32D7"/>
    <w:rsid w:val="006D50CA"/>
    <w:rsid w:val="006D7DF3"/>
    <w:rsid w:val="006F4DD1"/>
    <w:rsid w:val="00704F58"/>
    <w:rsid w:val="007052B5"/>
    <w:rsid w:val="007132AB"/>
    <w:rsid w:val="007227A8"/>
    <w:rsid w:val="00723ABC"/>
    <w:rsid w:val="007254D8"/>
    <w:rsid w:val="007303FD"/>
    <w:rsid w:val="0073353A"/>
    <w:rsid w:val="00755F79"/>
    <w:rsid w:val="00763746"/>
    <w:rsid w:val="00763EBF"/>
    <w:rsid w:val="00766D63"/>
    <w:rsid w:val="00770DA0"/>
    <w:rsid w:val="007773A3"/>
    <w:rsid w:val="0078275C"/>
    <w:rsid w:val="00786F1E"/>
    <w:rsid w:val="0078736D"/>
    <w:rsid w:val="007A1E5E"/>
    <w:rsid w:val="007A5F95"/>
    <w:rsid w:val="007A61A9"/>
    <w:rsid w:val="007A7712"/>
    <w:rsid w:val="007C0A3F"/>
    <w:rsid w:val="007C429B"/>
    <w:rsid w:val="007C4A8B"/>
    <w:rsid w:val="007D2963"/>
    <w:rsid w:val="007D2AD5"/>
    <w:rsid w:val="007D38EB"/>
    <w:rsid w:val="007D7651"/>
    <w:rsid w:val="007D77C0"/>
    <w:rsid w:val="007E00CF"/>
    <w:rsid w:val="007E1A26"/>
    <w:rsid w:val="007F3080"/>
    <w:rsid w:val="007F4EC6"/>
    <w:rsid w:val="007F7B58"/>
    <w:rsid w:val="00810B6F"/>
    <w:rsid w:val="0081119E"/>
    <w:rsid w:val="00815278"/>
    <w:rsid w:val="00817D58"/>
    <w:rsid w:val="008218CB"/>
    <w:rsid w:val="00821949"/>
    <w:rsid w:val="00822BE9"/>
    <w:rsid w:val="0082486E"/>
    <w:rsid w:val="00850B6A"/>
    <w:rsid w:val="00866CF8"/>
    <w:rsid w:val="008732A5"/>
    <w:rsid w:val="008745C6"/>
    <w:rsid w:val="00881060"/>
    <w:rsid w:val="008869BE"/>
    <w:rsid w:val="0089198F"/>
    <w:rsid w:val="008955B1"/>
    <w:rsid w:val="008963D4"/>
    <w:rsid w:val="00897269"/>
    <w:rsid w:val="008B5324"/>
    <w:rsid w:val="008D1265"/>
    <w:rsid w:val="008D7372"/>
    <w:rsid w:val="008E18D3"/>
    <w:rsid w:val="008F4336"/>
    <w:rsid w:val="009022CA"/>
    <w:rsid w:val="00904BFB"/>
    <w:rsid w:val="0091088F"/>
    <w:rsid w:val="009157C7"/>
    <w:rsid w:val="009171F7"/>
    <w:rsid w:val="009264E2"/>
    <w:rsid w:val="0093220B"/>
    <w:rsid w:val="00932CD7"/>
    <w:rsid w:val="00945B12"/>
    <w:rsid w:val="00951C38"/>
    <w:rsid w:val="00952B32"/>
    <w:rsid w:val="00966DEB"/>
    <w:rsid w:val="00975F6B"/>
    <w:rsid w:val="009816AD"/>
    <w:rsid w:val="00983BAE"/>
    <w:rsid w:val="00986B1C"/>
    <w:rsid w:val="00987F08"/>
    <w:rsid w:val="009A184B"/>
    <w:rsid w:val="009A339E"/>
    <w:rsid w:val="009A443E"/>
    <w:rsid w:val="009A74EB"/>
    <w:rsid w:val="009B696F"/>
    <w:rsid w:val="009C0EA6"/>
    <w:rsid w:val="009C379E"/>
    <w:rsid w:val="009C3B03"/>
    <w:rsid w:val="009D0F10"/>
    <w:rsid w:val="009D1ADA"/>
    <w:rsid w:val="009D560D"/>
    <w:rsid w:val="009E7FB1"/>
    <w:rsid w:val="009F095C"/>
    <w:rsid w:val="009F65DB"/>
    <w:rsid w:val="00A05847"/>
    <w:rsid w:val="00A071D4"/>
    <w:rsid w:val="00A15CB9"/>
    <w:rsid w:val="00A16DC3"/>
    <w:rsid w:val="00A176A3"/>
    <w:rsid w:val="00A242ED"/>
    <w:rsid w:val="00A25C6F"/>
    <w:rsid w:val="00A27510"/>
    <w:rsid w:val="00A402E1"/>
    <w:rsid w:val="00A42D85"/>
    <w:rsid w:val="00A42FFC"/>
    <w:rsid w:val="00A444D7"/>
    <w:rsid w:val="00A46E55"/>
    <w:rsid w:val="00A52611"/>
    <w:rsid w:val="00A55A5A"/>
    <w:rsid w:val="00A56393"/>
    <w:rsid w:val="00A6080D"/>
    <w:rsid w:val="00A61EA5"/>
    <w:rsid w:val="00A6280C"/>
    <w:rsid w:val="00A630D9"/>
    <w:rsid w:val="00A631B6"/>
    <w:rsid w:val="00A6463A"/>
    <w:rsid w:val="00A6564E"/>
    <w:rsid w:val="00A67609"/>
    <w:rsid w:val="00A70C40"/>
    <w:rsid w:val="00A77CC3"/>
    <w:rsid w:val="00A80F7B"/>
    <w:rsid w:val="00A833C9"/>
    <w:rsid w:val="00A8677E"/>
    <w:rsid w:val="00AA1C15"/>
    <w:rsid w:val="00AA35E7"/>
    <w:rsid w:val="00AA4EFD"/>
    <w:rsid w:val="00AA5198"/>
    <w:rsid w:val="00AA5893"/>
    <w:rsid w:val="00AB00FD"/>
    <w:rsid w:val="00AC5832"/>
    <w:rsid w:val="00AC6693"/>
    <w:rsid w:val="00AD4859"/>
    <w:rsid w:val="00AD5AFD"/>
    <w:rsid w:val="00AE0B89"/>
    <w:rsid w:val="00AE2CA4"/>
    <w:rsid w:val="00AE57E9"/>
    <w:rsid w:val="00AF19AC"/>
    <w:rsid w:val="00AF271B"/>
    <w:rsid w:val="00B05EE4"/>
    <w:rsid w:val="00B115E2"/>
    <w:rsid w:val="00B11BD8"/>
    <w:rsid w:val="00B14D74"/>
    <w:rsid w:val="00B3083B"/>
    <w:rsid w:val="00B375A9"/>
    <w:rsid w:val="00B41B9A"/>
    <w:rsid w:val="00B41D9E"/>
    <w:rsid w:val="00B41E02"/>
    <w:rsid w:val="00B434B4"/>
    <w:rsid w:val="00B44CCC"/>
    <w:rsid w:val="00B45DC4"/>
    <w:rsid w:val="00B53292"/>
    <w:rsid w:val="00B57314"/>
    <w:rsid w:val="00B57658"/>
    <w:rsid w:val="00B663EA"/>
    <w:rsid w:val="00B72046"/>
    <w:rsid w:val="00B86C33"/>
    <w:rsid w:val="00B9224C"/>
    <w:rsid w:val="00BA15EC"/>
    <w:rsid w:val="00BA347D"/>
    <w:rsid w:val="00BA5A5D"/>
    <w:rsid w:val="00BB16B6"/>
    <w:rsid w:val="00BB715D"/>
    <w:rsid w:val="00BC2993"/>
    <w:rsid w:val="00BC6BD9"/>
    <w:rsid w:val="00BE3EC3"/>
    <w:rsid w:val="00BF52A8"/>
    <w:rsid w:val="00C13F5E"/>
    <w:rsid w:val="00C151D4"/>
    <w:rsid w:val="00C43060"/>
    <w:rsid w:val="00C44635"/>
    <w:rsid w:val="00C47702"/>
    <w:rsid w:val="00C55795"/>
    <w:rsid w:val="00C615A8"/>
    <w:rsid w:val="00C72386"/>
    <w:rsid w:val="00C81027"/>
    <w:rsid w:val="00C82A4F"/>
    <w:rsid w:val="00C87016"/>
    <w:rsid w:val="00C914AD"/>
    <w:rsid w:val="00CB28CD"/>
    <w:rsid w:val="00CB6EBB"/>
    <w:rsid w:val="00CC347D"/>
    <w:rsid w:val="00CE071E"/>
    <w:rsid w:val="00CE0C94"/>
    <w:rsid w:val="00D00EAD"/>
    <w:rsid w:val="00D023C2"/>
    <w:rsid w:val="00D06733"/>
    <w:rsid w:val="00D168DB"/>
    <w:rsid w:val="00D238CB"/>
    <w:rsid w:val="00D24A7A"/>
    <w:rsid w:val="00D31557"/>
    <w:rsid w:val="00D34A1A"/>
    <w:rsid w:val="00D42C5D"/>
    <w:rsid w:val="00D7328A"/>
    <w:rsid w:val="00D91858"/>
    <w:rsid w:val="00DA098C"/>
    <w:rsid w:val="00DB15E5"/>
    <w:rsid w:val="00DB3886"/>
    <w:rsid w:val="00DC175B"/>
    <w:rsid w:val="00DC328A"/>
    <w:rsid w:val="00DD3D47"/>
    <w:rsid w:val="00DD4172"/>
    <w:rsid w:val="00DD421B"/>
    <w:rsid w:val="00DE7A0E"/>
    <w:rsid w:val="00DF1D4E"/>
    <w:rsid w:val="00E21EF8"/>
    <w:rsid w:val="00E23C11"/>
    <w:rsid w:val="00E25AEE"/>
    <w:rsid w:val="00E25CA8"/>
    <w:rsid w:val="00E32269"/>
    <w:rsid w:val="00E3293F"/>
    <w:rsid w:val="00E50451"/>
    <w:rsid w:val="00E510CD"/>
    <w:rsid w:val="00E51889"/>
    <w:rsid w:val="00E66283"/>
    <w:rsid w:val="00E75E2F"/>
    <w:rsid w:val="00E77211"/>
    <w:rsid w:val="00E84767"/>
    <w:rsid w:val="00E96013"/>
    <w:rsid w:val="00EA1078"/>
    <w:rsid w:val="00EA5514"/>
    <w:rsid w:val="00EC00D3"/>
    <w:rsid w:val="00EC6C54"/>
    <w:rsid w:val="00EC6C69"/>
    <w:rsid w:val="00ED0948"/>
    <w:rsid w:val="00ED4F44"/>
    <w:rsid w:val="00EE05F0"/>
    <w:rsid w:val="00EE3C40"/>
    <w:rsid w:val="00EE4FB7"/>
    <w:rsid w:val="00EF1111"/>
    <w:rsid w:val="00F2243A"/>
    <w:rsid w:val="00F242FF"/>
    <w:rsid w:val="00F452CB"/>
    <w:rsid w:val="00F52A6F"/>
    <w:rsid w:val="00F54B58"/>
    <w:rsid w:val="00F622ED"/>
    <w:rsid w:val="00F626CC"/>
    <w:rsid w:val="00F740B0"/>
    <w:rsid w:val="00F77B7E"/>
    <w:rsid w:val="00F87BB3"/>
    <w:rsid w:val="00F939C1"/>
    <w:rsid w:val="00FA34C2"/>
    <w:rsid w:val="00FA77A4"/>
    <w:rsid w:val="00FB1798"/>
    <w:rsid w:val="00FB21DA"/>
    <w:rsid w:val="00FB7B4D"/>
    <w:rsid w:val="00FC61EE"/>
    <w:rsid w:val="00FD30D5"/>
    <w:rsid w:val="00FD3A07"/>
    <w:rsid w:val="00FE0FBF"/>
    <w:rsid w:val="00FF2C6E"/>
    <w:rsid w:val="00FF3BF5"/>
    <w:rsid w:val="00FF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AD"/>
  </w:style>
  <w:style w:type="paragraph" w:styleId="Heading2">
    <w:name w:val="heading 2"/>
    <w:basedOn w:val="Normal"/>
    <w:next w:val="Normal"/>
    <w:link w:val="Heading2Char"/>
    <w:uiPriority w:val="9"/>
    <w:unhideWhenUsed/>
    <w:qFormat/>
    <w:rsid w:val="00AA35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35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35E7"/>
    <w:pPr>
      <w:tabs>
        <w:tab w:val="center" w:pos="4680"/>
        <w:tab w:val="right" w:pos="9360"/>
      </w:tabs>
    </w:pPr>
  </w:style>
  <w:style w:type="character" w:customStyle="1" w:styleId="HeaderChar">
    <w:name w:val="Header Char"/>
    <w:basedOn w:val="DefaultParagraphFont"/>
    <w:link w:val="Header"/>
    <w:uiPriority w:val="99"/>
    <w:semiHidden/>
    <w:rsid w:val="00AA35E7"/>
  </w:style>
  <w:style w:type="paragraph" w:styleId="Footer">
    <w:name w:val="footer"/>
    <w:basedOn w:val="Normal"/>
    <w:link w:val="FooterChar"/>
    <w:uiPriority w:val="99"/>
    <w:semiHidden/>
    <w:unhideWhenUsed/>
    <w:rsid w:val="00AA35E7"/>
    <w:pPr>
      <w:tabs>
        <w:tab w:val="center" w:pos="4680"/>
        <w:tab w:val="right" w:pos="9360"/>
      </w:tabs>
    </w:pPr>
  </w:style>
  <w:style w:type="character" w:customStyle="1" w:styleId="FooterChar">
    <w:name w:val="Footer Char"/>
    <w:basedOn w:val="DefaultParagraphFont"/>
    <w:link w:val="Footer"/>
    <w:uiPriority w:val="99"/>
    <w:semiHidden/>
    <w:rsid w:val="00AA35E7"/>
  </w:style>
  <w:style w:type="character" w:customStyle="1" w:styleId="Heading2Char">
    <w:name w:val="Heading 2 Char"/>
    <w:basedOn w:val="DefaultParagraphFont"/>
    <w:link w:val="Heading2"/>
    <w:uiPriority w:val="9"/>
    <w:rsid w:val="00AA35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A35E7"/>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AA35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5E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A35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A35E7"/>
    <w:rPr>
      <w:rFonts w:asciiTheme="majorHAnsi" w:eastAsiaTheme="majorEastAsia" w:hAnsiTheme="majorHAnsi" w:cstheme="majorBidi"/>
      <w:i/>
      <w:iCs/>
      <w:color w:val="4F81BD" w:themeColor="accent1"/>
      <w:spacing w:val="15"/>
      <w:sz w:val="24"/>
      <w:szCs w:val="24"/>
    </w:rPr>
  </w:style>
  <w:style w:type="character" w:styleId="IntenseReference">
    <w:name w:val="Intense Reference"/>
    <w:basedOn w:val="DefaultParagraphFont"/>
    <w:uiPriority w:val="32"/>
    <w:qFormat/>
    <w:rsid w:val="005A1FFE"/>
    <w:rPr>
      <w:b/>
      <w:bCs/>
      <w:smallCaps/>
      <w:color w:val="C0504D" w:themeColor="accent2"/>
      <w:spacing w:val="5"/>
      <w:u w:val="single"/>
    </w:rPr>
  </w:style>
  <w:style w:type="paragraph" w:styleId="NoSpacing">
    <w:name w:val="No Spacing"/>
    <w:uiPriority w:val="1"/>
    <w:qFormat/>
    <w:rsid w:val="005A1FFE"/>
  </w:style>
  <w:style w:type="paragraph" w:styleId="BalloonText">
    <w:name w:val="Balloon Text"/>
    <w:basedOn w:val="Normal"/>
    <w:link w:val="BalloonTextChar"/>
    <w:uiPriority w:val="99"/>
    <w:semiHidden/>
    <w:unhideWhenUsed/>
    <w:rsid w:val="0078736D"/>
    <w:rPr>
      <w:rFonts w:ascii="Tahoma" w:hAnsi="Tahoma" w:cs="Tahoma"/>
      <w:sz w:val="16"/>
      <w:szCs w:val="16"/>
    </w:rPr>
  </w:style>
  <w:style w:type="character" w:customStyle="1" w:styleId="BalloonTextChar">
    <w:name w:val="Balloon Text Char"/>
    <w:basedOn w:val="DefaultParagraphFont"/>
    <w:link w:val="BalloonText"/>
    <w:uiPriority w:val="99"/>
    <w:semiHidden/>
    <w:rsid w:val="0078736D"/>
    <w:rPr>
      <w:rFonts w:ascii="Tahoma" w:hAnsi="Tahoma" w:cs="Tahoma"/>
      <w:sz w:val="16"/>
      <w:szCs w:val="16"/>
    </w:rPr>
  </w:style>
  <w:style w:type="paragraph" w:styleId="NormalWeb">
    <w:name w:val="Normal (Web)"/>
    <w:basedOn w:val="Normal"/>
    <w:uiPriority w:val="99"/>
    <w:semiHidden/>
    <w:unhideWhenUsed/>
    <w:rsid w:val="007D2963"/>
    <w:pPr>
      <w:spacing w:before="100" w:beforeAutospacing="1" w:after="100" w:afterAutospacing="1"/>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AD"/>
  </w:style>
  <w:style w:type="paragraph" w:styleId="Heading2">
    <w:name w:val="heading 2"/>
    <w:basedOn w:val="Normal"/>
    <w:next w:val="Normal"/>
    <w:link w:val="Heading2Char"/>
    <w:uiPriority w:val="9"/>
    <w:unhideWhenUsed/>
    <w:qFormat/>
    <w:rsid w:val="00AA35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35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35E7"/>
    <w:pPr>
      <w:tabs>
        <w:tab w:val="center" w:pos="4680"/>
        <w:tab w:val="right" w:pos="9360"/>
      </w:tabs>
    </w:pPr>
  </w:style>
  <w:style w:type="character" w:customStyle="1" w:styleId="HeaderChar">
    <w:name w:val="Header Char"/>
    <w:basedOn w:val="DefaultParagraphFont"/>
    <w:link w:val="Header"/>
    <w:uiPriority w:val="99"/>
    <w:semiHidden/>
    <w:rsid w:val="00AA35E7"/>
  </w:style>
  <w:style w:type="paragraph" w:styleId="Footer">
    <w:name w:val="footer"/>
    <w:basedOn w:val="Normal"/>
    <w:link w:val="FooterChar"/>
    <w:uiPriority w:val="99"/>
    <w:semiHidden/>
    <w:unhideWhenUsed/>
    <w:rsid w:val="00AA35E7"/>
    <w:pPr>
      <w:tabs>
        <w:tab w:val="center" w:pos="4680"/>
        <w:tab w:val="right" w:pos="9360"/>
      </w:tabs>
    </w:pPr>
  </w:style>
  <w:style w:type="character" w:customStyle="1" w:styleId="FooterChar">
    <w:name w:val="Footer Char"/>
    <w:basedOn w:val="DefaultParagraphFont"/>
    <w:link w:val="Footer"/>
    <w:uiPriority w:val="99"/>
    <w:semiHidden/>
    <w:rsid w:val="00AA35E7"/>
  </w:style>
  <w:style w:type="character" w:customStyle="1" w:styleId="Heading2Char">
    <w:name w:val="Heading 2 Char"/>
    <w:basedOn w:val="DefaultParagraphFont"/>
    <w:link w:val="Heading2"/>
    <w:uiPriority w:val="9"/>
    <w:rsid w:val="00AA35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A35E7"/>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AA35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5E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A35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A35E7"/>
    <w:rPr>
      <w:rFonts w:asciiTheme="majorHAnsi" w:eastAsiaTheme="majorEastAsia" w:hAnsiTheme="majorHAnsi" w:cstheme="majorBidi"/>
      <w:i/>
      <w:iCs/>
      <w:color w:val="4F81BD" w:themeColor="accent1"/>
      <w:spacing w:val="15"/>
      <w:sz w:val="24"/>
      <w:szCs w:val="24"/>
    </w:rPr>
  </w:style>
  <w:style w:type="character" w:styleId="IntenseReference">
    <w:name w:val="Intense Reference"/>
    <w:basedOn w:val="DefaultParagraphFont"/>
    <w:uiPriority w:val="32"/>
    <w:qFormat/>
    <w:rsid w:val="005A1FFE"/>
    <w:rPr>
      <w:b/>
      <w:bCs/>
      <w:smallCaps/>
      <w:color w:val="C0504D" w:themeColor="accent2"/>
      <w:spacing w:val="5"/>
      <w:u w:val="single"/>
    </w:rPr>
  </w:style>
  <w:style w:type="paragraph" w:styleId="NoSpacing">
    <w:name w:val="No Spacing"/>
    <w:uiPriority w:val="1"/>
    <w:qFormat/>
    <w:rsid w:val="005A1FFE"/>
  </w:style>
  <w:style w:type="paragraph" w:styleId="BalloonText">
    <w:name w:val="Balloon Text"/>
    <w:basedOn w:val="Normal"/>
    <w:link w:val="BalloonTextChar"/>
    <w:uiPriority w:val="99"/>
    <w:semiHidden/>
    <w:unhideWhenUsed/>
    <w:rsid w:val="0078736D"/>
    <w:rPr>
      <w:rFonts w:ascii="Tahoma" w:hAnsi="Tahoma" w:cs="Tahoma"/>
      <w:sz w:val="16"/>
      <w:szCs w:val="16"/>
    </w:rPr>
  </w:style>
  <w:style w:type="character" w:customStyle="1" w:styleId="BalloonTextChar">
    <w:name w:val="Balloon Text Char"/>
    <w:basedOn w:val="DefaultParagraphFont"/>
    <w:link w:val="BalloonText"/>
    <w:uiPriority w:val="99"/>
    <w:semiHidden/>
    <w:rsid w:val="0078736D"/>
    <w:rPr>
      <w:rFonts w:ascii="Tahoma" w:hAnsi="Tahoma" w:cs="Tahoma"/>
      <w:sz w:val="16"/>
      <w:szCs w:val="16"/>
    </w:rPr>
  </w:style>
  <w:style w:type="paragraph" w:styleId="NormalWeb">
    <w:name w:val="Normal (Web)"/>
    <w:basedOn w:val="Normal"/>
    <w:uiPriority w:val="99"/>
    <w:semiHidden/>
    <w:unhideWhenUsed/>
    <w:rsid w:val="007D2963"/>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030">
      <w:bodyDiv w:val="1"/>
      <w:marLeft w:val="0"/>
      <w:marRight w:val="0"/>
      <w:marTop w:val="0"/>
      <w:marBottom w:val="0"/>
      <w:divBdr>
        <w:top w:val="none" w:sz="0" w:space="0" w:color="auto"/>
        <w:left w:val="none" w:sz="0" w:space="0" w:color="auto"/>
        <w:bottom w:val="none" w:sz="0" w:space="0" w:color="auto"/>
        <w:right w:val="none" w:sz="0" w:space="0" w:color="auto"/>
      </w:divBdr>
    </w:div>
    <w:div w:id="260795495">
      <w:bodyDiv w:val="1"/>
      <w:marLeft w:val="0"/>
      <w:marRight w:val="0"/>
      <w:marTop w:val="0"/>
      <w:marBottom w:val="0"/>
      <w:divBdr>
        <w:top w:val="none" w:sz="0" w:space="0" w:color="auto"/>
        <w:left w:val="none" w:sz="0" w:space="0" w:color="auto"/>
        <w:bottom w:val="none" w:sz="0" w:space="0" w:color="auto"/>
        <w:right w:val="none" w:sz="0" w:space="0" w:color="auto"/>
      </w:divBdr>
    </w:div>
    <w:div w:id="551190136">
      <w:bodyDiv w:val="1"/>
      <w:marLeft w:val="0"/>
      <w:marRight w:val="0"/>
      <w:marTop w:val="0"/>
      <w:marBottom w:val="0"/>
      <w:divBdr>
        <w:top w:val="none" w:sz="0" w:space="0" w:color="auto"/>
        <w:left w:val="none" w:sz="0" w:space="0" w:color="auto"/>
        <w:bottom w:val="none" w:sz="0" w:space="0" w:color="auto"/>
        <w:right w:val="none" w:sz="0" w:space="0" w:color="auto"/>
      </w:divBdr>
    </w:div>
    <w:div w:id="949624884">
      <w:bodyDiv w:val="1"/>
      <w:marLeft w:val="0"/>
      <w:marRight w:val="0"/>
      <w:marTop w:val="0"/>
      <w:marBottom w:val="0"/>
      <w:divBdr>
        <w:top w:val="none" w:sz="0" w:space="0" w:color="auto"/>
        <w:left w:val="none" w:sz="0" w:space="0" w:color="auto"/>
        <w:bottom w:val="none" w:sz="0" w:space="0" w:color="auto"/>
        <w:right w:val="none" w:sz="0" w:space="0" w:color="auto"/>
      </w:divBdr>
    </w:div>
    <w:div w:id="1262492885">
      <w:bodyDiv w:val="1"/>
      <w:marLeft w:val="0"/>
      <w:marRight w:val="0"/>
      <w:marTop w:val="0"/>
      <w:marBottom w:val="0"/>
      <w:divBdr>
        <w:top w:val="none" w:sz="0" w:space="0" w:color="auto"/>
        <w:left w:val="none" w:sz="0" w:space="0" w:color="auto"/>
        <w:bottom w:val="none" w:sz="0" w:space="0" w:color="auto"/>
        <w:right w:val="none" w:sz="0" w:space="0" w:color="auto"/>
      </w:divBdr>
    </w:div>
    <w:div w:id="1542475583">
      <w:bodyDiv w:val="1"/>
      <w:marLeft w:val="0"/>
      <w:marRight w:val="0"/>
      <w:marTop w:val="0"/>
      <w:marBottom w:val="0"/>
      <w:divBdr>
        <w:top w:val="none" w:sz="0" w:space="0" w:color="auto"/>
        <w:left w:val="none" w:sz="0" w:space="0" w:color="auto"/>
        <w:bottom w:val="none" w:sz="0" w:space="0" w:color="auto"/>
        <w:right w:val="none" w:sz="0" w:space="0" w:color="auto"/>
      </w:divBdr>
    </w:div>
    <w:div w:id="1625579859">
      <w:bodyDiv w:val="1"/>
      <w:marLeft w:val="0"/>
      <w:marRight w:val="0"/>
      <w:marTop w:val="0"/>
      <w:marBottom w:val="0"/>
      <w:divBdr>
        <w:top w:val="none" w:sz="0" w:space="0" w:color="auto"/>
        <w:left w:val="none" w:sz="0" w:space="0" w:color="auto"/>
        <w:bottom w:val="none" w:sz="0" w:space="0" w:color="auto"/>
        <w:right w:val="none" w:sz="0" w:space="0" w:color="auto"/>
      </w:divBdr>
    </w:div>
    <w:div w:id="1637098306">
      <w:bodyDiv w:val="1"/>
      <w:marLeft w:val="0"/>
      <w:marRight w:val="0"/>
      <w:marTop w:val="0"/>
      <w:marBottom w:val="0"/>
      <w:divBdr>
        <w:top w:val="none" w:sz="0" w:space="0" w:color="auto"/>
        <w:left w:val="none" w:sz="0" w:space="0" w:color="auto"/>
        <w:bottom w:val="none" w:sz="0" w:space="0" w:color="auto"/>
        <w:right w:val="none" w:sz="0" w:space="0" w:color="auto"/>
      </w:divBdr>
    </w:div>
    <w:div w:id="207581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Desktop\Baker%20College%20Online\Sys%20Dev%20Methods%20CIS251\S4%20WA%20-%20Economic%20Feasibility%20Analysi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esktop\Baker%20College%20Online\Sys%20Dev%20Methods%20CIS251\S4%20WA%20-%20Economic%20Feasibility%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0"/>
    <c:plotArea>
      <c:layout>
        <c:manualLayout>
          <c:layoutTarget val="inner"/>
          <c:xMode val="edge"/>
          <c:yMode val="edge"/>
          <c:x val="0.12676075710454118"/>
          <c:y val="0.101562693715465"/>
          <c:w val="0.85133150450457407"/>
          <c:h val="0.61328241974338482"/>
        </c:manualLayout>
      </c:layout>
      <c:lineChart>
        <c:grouping val="standard"/>
        <c:varyColors val="0"/>
        <c:ser>
          <c:idx val="0"/>
          <c:order val="0"/>
          <c:tx>
            <c:strRef>
              <c:f>'Payback Analysis'!$C$4:$C$5</c:f>
              <c:strCache>
                <c:ptCount val="1"/>
                <c:pt idx="0">
                  <c:v>Cumulative Costs</c:v>
                </c:pt>
              </c:strCache>
            </c:strRef>
          </c:tx>
          <c:marker>
            <c:symbol val="none"/>
          </c:marker>
          <c:cat>
            <c:strRef>
              <c:f>'Payback Analysis'!$A$6:$A$11</c:f>
              <c:strCache>
                <c:ptCount val="6"/>
                <c:pt idx="0">
                  <c:v>Year 0</c:v>
                </c:pt>
                <c:pt idx="1">
                  <c:v>Year 1</c:v>
                </c:pt>
                <c:pt idx="2">
                  <c:v>Year 2</c:v>
                </c:pt>
                <c:pt idx="3">
                  <c:v>Year 3</c:v>
                </c:pt>
                <c:pt idx="4">
                  <c:v>Year 4</c:v>
                </c:pt>
                <c:pt idx="5">
                  <c:v>Year 5</c:v>
                </c:pt>
              </c:strCache>
            </c:strRef>
          </c:cat>
          <c:val>
            <c:numRef>
              <c:f>'Payback Analysis'!$C$6:$C$11</c:f>
              <c:numCache>
                <c:formatCode>_(* #,##0_);_(* \(#,##0\);_(* "-"??_);_(@_)</c:formatCode>
                <c:ptCount val="6"/>
                <c:pt idx="0">
                  <c:v>27608</c:v>
                </c:pt>
                <c:pt idx="1">
                  <c:v>27608</c:v>
                </c:pt>
                <c:pt idx="2">
                  <c:v>27608</c:v>
                </c:pt>
                <c:pt idx="3">
                  <c:v>27608</c:v>
                </c:pt>
                <c:pt idx="4">
                  <c:v>27608</c:v>
                </c:pt>
                <c:pt idx="5">
                  <c:v>27608</c:v>
                </c:pt>
              </c:numCache>
            </c:numRef>
          </c:val>
          <c:smooth val="0"/>
        </c:ser>
        <c:ser>
          <c:idx val="1"/>
          <c:order val="1"/>
          <c:tx>
            <c:strRef>
              <c:f>'Payback Analysis'!$E$4:$E$5</c:f>
              <c:strCache>
                <c:ptCount val="1"/>
                <c:pt idx="0">
                  <c:v>Cumulative Benefits</c:v>
                </c:pt>
              </c:strCache>
            </c:strRef>
          </c:tx>
          <c:val>
            <c:numRef>
              <c:f>'Payback Analysis'!$E$6:$E$11</c:f>
              <c:numCache>
                <c:formatCode>_(* #,##0_);_(* \(#,##0\);_(* "-"??_);_(@_)</c:formatCode>
                <c:ptCount val="6"/>
                <c:pt idx="0">
                  <c:v>13039</c:v>
                </c:pt>
                <c:pt idx="1">
                  <c:v>34918</c:v>
                </c:pt>
                <c:pt idx="2">
                  <c:v>56797</c:v>
                </c:pt>
                <c:pt idx="3">
                  <c:v>78676</c:v>
                </c:pt>
                <c:pt idx="4">
                  <c:v>100555</c:v>
                </c:pt>
                <c:pt idx="5">
                  <c:v>122434</c:v>
                </c:pt>
              </c:numCache>
            </c:numRef>
          </c:val>
          <c:smooth val="0"/>
        </c:ser>
        <c:dLbls>
          <c:showLegendKey val="0"/>
          <c:showVal val="0"/>
          <c:showCatName val="0"/>
          <c:showSerName val="0"/>
          <c:showPercent val="0"/>
          <c:showBubbleSize val="0"/>
        </c:dLbls>
        <c:marker val="1"/>
        <c:smooth val="0"/>
        <c:axId val="148530304"/>
        <c:axId val="192366848"/>
      </c:lineChart>
      <c:catAx>
        <c:axId val="148530304"/>
        <c:scaling>
          <c:orientation val="minMax"/>
        </c:scaling>
        <c:delete val="0"/>
        <c:axPos val="b"/>
        <c:numFmt formatCode="General" sourceLinked="1"/>
        <c:majorTickMark val="out"/>
        <c:minorTickMark val="none"/>
        <c:tickLblPos val="nextTo"/>
        <c:txPr>
          <a:bodyPr rot="0" vert="horz"/>
          <a:lstStyle/>
          <a:p>
            <a:pPr>
              <a:defRPr/>
            </a:pPr>
            <a:endParaRPr lang="en-US"/>
          </a:p>
        </c:txPr>
        <c:crossAx val="192366848"/>
        <c:crosses val="autoZero"/>
        <c:auto val="1"/>
        <c:lblAlgn val="ctr"/>
        <c:lblOffset val="100"/>
        <c:tickLblSkip val="1"/>
        <c:tickMarkSkip val="1"/>
        <c:noMultiLvlLbl val="0"/>
      </c:catAx>
      <c:valAx>
        <c:axId val="192366848"/>
        <c:scaling>
          <c:orientation val="minMax"/>
        </c:scaling>
        <c:delete val="0"/>
        <c:axPos val="l"/>
        <c:majorGridlines/>
        <c:numFmt formatCode="_(* #,##0_);_(* \(#,##0\);_(* &quot;-&quot;??_);_(@_)" sourceLinked="1"/>
        <c:majorTickMark val="out"/>
        <c:minorTickMark val="none"/>
        <c:tickLblPos val="nextTo"/>
        <c:txPr>
          <a:bodyPr rot="0" vert="horz"/>
          <a:lstStyle/>
          <a:p>
            <a:pPr>
              <a:defRPr/>
            </a:pPr>
            <a:endParaRPr lang="en-US"/>
          </a:p>
        </c:txPr>
        <c:crossAx val="148530304"/>
        <c:crosses val="autoZero"/>
        <c:crossBetween val="between"/>
      </c:valAx>
    </c:plotArea>
    <c:legend>
      <c:legendPos val="r"/>
      <c:layout>
        <c:manualLayout>
          <c:xMode val="edge"/>
          <c:yMode val="edge"/>
          <c:x val="4.4162027517261018E-2"/>
          <c:y val="0.89929625488656817"/>
          <c:w val="0.77401273885350363"/>
          <c:h val="0.1007037451134319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0"/>
    <c:plotArea>
      <c:layout>
        <c:manualLayout>
          <c:layoutTarget val="inner"/>
          <c:xMode val="edge"/>
          <c:yMode val="edge"/>
          <c:x val="0.12676075710454118"/>
          <c:y val="0.10116731517509719"/>
          <c:w val="0.85133150450457395"/>
          <c:h val="0.61478599221789976"/>
        </c:manualLayout>
      </c:layout>
      <c:lineChart>
        <c:grouping val="standard"/>
        <c:varyColors val="0"/>
        <c:ser>
          <c:idx val="0"/>
          <c:order val="0"/>
          <c:tx>
            <c:strRef>
              <c:f>'Payback Analysis'!$C$30:$C$31</c:f>
              <c:strCache>
                <c:ptCount val="1"/>
                <c:pt idx="0">
                  <c:v>Cumulative Costs</c:v>
                </c:pt>
              </c:strCache>
            </c:strRef>
          </c:tx>
          <c:marker>
            <c:symbol val="none"/>
          </c:marker>
          <c:cat>
            <c:strRef>
              <c:f>'Payback Analysis'!$A$32:$A$37</c:f>
              <c:strCache>
                <c:ptCount val="6"/>
                <c:pt idx="0">
                  <c:v>Year 0</c:v>
                </c:pt>
                <c:pt idx="1">
                  <c:v>Year 1</c:v>
                </c:pt>
                <c:pt idx="2">
                  <c:v>Year 2</c:v>
                </c:pt>
                <c:pt idx="3">
                  <c:v>Year 3</c:v>
                </c:pt>
                <c:pt idx="4">
                  <c:v>Year 4</c:v>
                </c:pt>
                <c:pt idx="5">
                  <c:v>Year 5</c:v>
                </c:pt>
              </c:strCache>
            </c:strRef>
          </c:cat>
          <c:val>
            <c:numRef>
              <c:f>'Payback Analysis'!$C$32:$C$37</c:f>
              <c:numCache>
                <c:formatCode>_(* #,##0_);_(* \(#,##0\);_(* "-"??_);_(@_)</c:formatCode>
                <c:ptCount val="6"/>
                <c:pt idx="0">
                  <c:v>18468</c:v>
                </c:pt>
                <c:pt idx="1">
                  <c:v>21968</c:v>
                </c:pt>
                <c:pt idx="2">
                  <c:v>25468</c:v>
                </c:pt>
                <c:pt idx="3">
                  <c:v>25968</c:v>
                </c:pt>
                <c:pt idx="4">
                  <c:v>26468</c:v>
                </c:pt>
                <c:pt idx="5">
                  <c:v>26968</c:v>
                </c:pt>
              </c:numCache>
            </c:numRef>
          </c:val>
          <c:smooth val="0"/>
        </c:ser>
        <c:ser>
          <c:idx val="1"/>
          <c:order val="1"/>
          <c:tx>
            <c:strRef>
              <c:f>'Payback Analysis'!$E$30:$E$31</c:f>
              <c:strCache>
                <c:ptCount val="1"/>
                <c:pt idx="0">
                  <c:v>Cumulative Benefits</c:v>
                </c:pt>
              </c:strCache>
            </c:strRef>
          </c:tx>
          <c:cat>
            <c:strRef>
              <c:f>'Payback Analysis'!$A$32:$A$37</c:f>
              <c:strCache>
                <c:ptCount val="6"/>
                <c:pt idx="0">
                  <c:v>Year 0</c:v>
                </c:pt>
                <c:pt idx="1">
                  <c:v>Year 1</c:v>
                </c:pt>
                <c:pt idx="2">
                  <c:v>Year 2</c:v>
                </c:pt>
                <c:pt idx="3">
                  <c:v>Year 3</c:v>
                </c:pt>
                <c:pt idx="4">
                  <c:v>Year 4</c:v>
                </c:pt>
                <c:pt idx="5">
                  <c:v>Year 5</c:v>
                </c:pt>
              </c:strCache>
            </c:strRef>
          </c:cat>
          <c:val>
            <c:numRef>
              <c:f>'Payback Analysis'!$E$32:$E$37</c:f>
              <c:numCache>
                <c:formatCode>_(* #,##0_);_(* \(#,##0\);_(* "-"??_);_(@_)</c:formatCode>
                <c:ptCount val="6"/>
                <c:pt idx="0">
                  <c:v>13039</c:v>
                </c:pt>
                <c:pt idx="1">
                  <c:v>34918</c:v>
                </c:pt>
                <c:pt idx="2">
                  <c:v>56797</c:v>
                </c:pt>
                <c:pt idx="3">
                  <c:v>78676</c:v>
                </c:pt>
                <c:pt idx="4">
                  <c:v>100555</c:v>
                </c:pt>
                <c:pt idx="5">
                  <c:v>122434</c:v>
                </c:pt>
              </c:numCache>
            </c:numRef>
          </c:val>
          <c:smooth val="0"/>
        </c:ser>
        <c:dLbls>
          <c:showLegendKey val="0"/>
          <c:showVal val="0"/>
          <c:showCatName val="0"/>
          <c:showSerName val="0"/>
          <c:showPercent val="0"/>
          <c:showBubbleSize val="0"/>
        </c:dLbls>
        <c:marker val="1"/>
        <c:smooth val="0"/>
        <c:axId val="202736384"/>
        <c:axId val="202737920"/>
      </c:lineChart>
      <c:catAx>
        <c:axId val="202736384"/>
        <c:scaling>
          <c:orientation val="minMax"/>
        </c:scaling>
        <c:delete val="0"/>
        <c:axPos val="b"/>
        <c:numFmt formatCode="General" sourceLinked="1"/>
        <c:majorTickMark val="out"/>
        <c:minorTickMark val="none"/>
        <c:tickLblPos val="nextTo"/>
        <c:txPr>
          <a:bodyPr rot="0" vert="horz"/>
          <a:lstStyle/>
          <a:p>
            <a:pPr>
              <a:defRPr/>
            </a:pPr>
            <a:endParaRPr lang="en-US"/>
          </a:p>
        </c:txPr>
        <c:crossAx val="202737920"/>
        <c:crosses val="autoZero"/>
        <c:auto val="1"/>
        <c:lblAlgn val="ctr"/>
        <c:lblOffset val="100"/>
        <c:tickLblSkip val="1"/>
        <c:tickMarkSkip val="1"/>
        <c:noMultiLvlLbl val="0"/>
      </c:catAx>
      <c:valAx>
        <c:axId val="202737920"/>
        <c:scaling>
          <c:orientation val="minMax"/>
        </c:scaling>
        <c:delete val="0"/>
        <c:axPos val="l"/>
        <c:majorGridlines/>
        <c:numFmt formatCode="_(* #,##0_);_(* \(#,##0\);_(* &quot;-&quot;??_);_(@_)" sourceLinked="1"/>
        <c:majorTickMark val="out"/>
        <c:minorTickMark val="none"/>
        <c:tickLblPos val="nextTo"/>
        <c:txPr>
          <a:bodyPr rot="0" vert="horz"/>
          <a:lstStyle/>
          <a:p>
            <a:pPr>
              <a:defRPr/>
            </a:pPr>
            <a:endParaRPr lang="en-US"/>
          </a:p>
        </c:txPr>
        <c:crossAx val="202736384"/>
        <c:crosses val="autoZero"/>
        <c:crossBetween val="between"/>
      </c:valAx>
    </c:plotArea>
    <c:legend>
      <c:legendPos val="r"/>
      <c:layout>
        <c:manualLayout>
          <c:xMode val="edge"/>
          <c:yMode val="edge"/>
          <c:x val="0.33121085978902354"/>
          <c:y val="0.87878867414300565"/>
          <c:w val="0.46879064479997334"/>
          <c:h val="8.7878787878787779E-2"/>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0.17643</cdr:x>
      <cdr:y>0.29716</cdr:y>
    </cdr:from>
    <cdr:to>
      <cdr:x>0.53092</cdr:x>
      <cdr:y>0.38441</cdr:y>
    </cdr:to>
    <cdr:sp macro="" textlink="">
      <cdr:nvSpPr>
        <cdr:cNvPr id="3074" name="Text Box 2"/>
        <cdr:cNvSpPr txBox="1">
          <a:spLocks xmlns:a="http://schemas.openxmlformats.org/drawingml/2006/main" noChangeArrowheads="1"/>
        </cdr:cNvSpPr>
      </cdr:nvSpPr>
      <cdr:spPr bwMode="auto">
        <a:xfrm xmlns:a="http://schemas.openxmlformats.org/drawingml/2006/main">
          <a:off x="904876" y="723900"/>
          <a:ext cx="2238374" cy="21534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000" b="0" i="0" strike="noStrike">
              <a:solidFill>
                <a:srgbClr val="000000"/>
              </a:solidFill>
              <a:latin typeface="Arial"/>
              <a:cs typeface="Arial"/>
            </a:rPr>
            <a:t>Payback: about10 months into year 0</a:t>
          </a:r>
        </a:p>
      </cdr:txBody>
    </cdr:sp>
  </cdr:relSizeAnchor>
  <cdr:relSizeAnchor xmlns:cdr="http://schemas.openxmlformats.org/drawingml/2006/chartDrawing">
    <cdr:from>
      <cdr:x>0.26955</cdr:x>
      <cdr:y>0.3834</cdr:y>
    </cdr:from>
    <cdr:to>
      <cdr:x>0.26955</cdr:x>
      <cdr:y>0.62219</cdr:y>
    </cdr:to>
    <cdr:sp macro="" textlink="">
      <cdr:nvSpPr>
        <cdr:cNvPr id="4" name="Line 1"/>
        <cdr:cNvSpPr>
          <a:spLocks xmlns:a="http://schemas.openxmlformats.org/drawingml/2006/main" noChangeShapeType="1"/>
        </cdr:cNvSpPr>
      </cdr:nvSpPr>
      <cdr:spPr bwMode="auto">
        <a:xfrm xmlns:a="http://schemas.openxmlformats.org/drawingml/2006/main">
          <a:off x="1504488" y="929719"/>
          <a:ext cx="0" cy="529435"/>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2013-03-19T16:52:00Z</dcterms:created>
  <dcterms:modified xsi:type="dcterms:W3CDTF">2013-03-19T16:52:00Z</dcterms:modified>
</cp:coreProperties>
</file>